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6e4c0a3f34c21" /></Relationships>
</file>

<file path=word/document.xml><?xml version="1.0" encoding="utf-8"?>
<w:document xmlns:w="http://schemas.openxmlformats.org/wordprocessingml/2006/main">
  <w:body>
    <w:p>
      <w:r>
        <w:t>S-0701.1</w:t>
      </w:r>
    </w:p>
    <w:p>
      <w:pPr>
        <w:jc w:val="center"/>
      </w:pPr>
      <w:r>
        <w:t>_______________________________________________</w:t>
      </w:r>
    </w:p>
    <w:p/>
    <w:p>
      <w:pPr>
        <w:jc w:val="center"/>
      </w:pPr>
      <w:r>
        <w:rPr>
          <w:b/>
        </w:rPr>
        <w:t>SENATE BILL 5710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Habib, Roach, Jayapal, Hobbs, Hasegawa, and Conway</w:t>
      </w:r>
    </w:p>
    <w:p/>
    <w:p>
      <w:r>
        <w:rPr>
          <w:t xml:space="preserve">Read first time 01/29/15.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requirements and options for owners and lessees of for hire vehicles, limousines, and taxicabs; amending RCW 51.12.020, 51.12.185, and 81.72.240; and repealing RCW 46.72.073, 46.72A.053, 51.12.180, 51.12.183, 51.16.240, and 81.72.230.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0"/>
        <w:jc w:val="left"/>
      </w:pPr>
      <w:r>
        <w:rPr>
          <w:u w:val="single"/>
        </w:rPr>
        <w:t xml:space="preserve">(14)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185</w:t>
      </w:r>
      <w:r>
        <w:rPr/>
        <w:t xml:space="preserve"> and 2011 c 190 s 4 are each amended to read as follows:</w:t>
      </w:r>
    </w:p>
    <w:p>
      <w:pPr>
        <w:spacing w:before="0" w:after="0" w:line="408" w:lineRule="exact"/>
        <w:ind w:left="0" w:right="0" w:firstLine="576"/>
        <w:jc w:val="left"/>
      </w:pPr>
      <w:r>
        <w:rPr/>
        <w:t xml:space="preserve">(1) ((</w:t>
      </w:r>
      <w:r>
        <w:rPr>
          <w:strike/>
        </w:rPr>
        <w:t xml:space="preserve">In order to assist the department with controlling costs related to the self-monitoring of industrial insurance claims by independent owner-operated for hire vehicle, limousine, and taxicab businesses,</w:t>
      </w:r>
      <w:r>
        <w:rPr/>
        <w:t xml:space="preserve">)) </w:t>
      </w:r>
      <w:r>
        <w:rPr>
          <w:u w:val="single"/>
        </w:rPr>
        <w:t xml:space="preserve">T</w:t>
      </w:r>
      <w:r>
        <w:rPr/>
        <w:t xml:space="preserve">he department may appoint a panel of individuals with for hire vehicle, limousine, or taxicab transportation industry experience and expertise to advise the department.</w:t>
      </w:r>
    </w:p>
    <w:p>
      <w:pPr>
        <w:spacing w:before="0" w:after="0" w:line="408" w:lineRule="exact"/>
        <w:ind w:left="0" w:right="0" w:firstLine="576"/>
        <w:jc w:val="left"/>
      </w:pPr>
      <w:r>
        <w:rPr/>
        <w:t xml:space="preserve">(2) The owner </w:t>
      </w:r>
      <w:r>
        <w:rPr>
          <w:u w:val="single"/>
        </w:rPr>
        <w:t xml:space="preserve">or lessee</w:t>
      </w:r>
      <w:r>
        <w:rPr/>
        <w:t xml:space="preserve"> of any for hire, limousine, or taxicab vehicle ((</w:t>
      </w:r>
      <w:r>
        <w:rPr>
          <w:strike/>
        </w:rPr>
        <w:t xml:space="preserve">subject to mandatory industrial insurance pursuant to RCW 51.12.183</w:t>
      </w:r>
      <w:r>
        <w:rPr/>
        <w:t xml:space="preserve">)) is eligible for inclusion in a retrospective rating program authorized and established pursuant to chapter 51.18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240</w:t>
      </w:r>
      <w:r>
        <w:rPr/>
        <w:t xml:space="preserve"> and 2011 c 190 s 8 are each amended to read as follows:</w:t>
      </w:r>
    </w:p>
    <w:p>
      <w:pPr>
        <w:spacing w:before="0" w:after="0" w:line="408" w:lineRule="exact"/>
        <w:ind w:left="0" w:right="0" w:firstLine="576"/>
        <w:jc w:val="left"/>
      </w:pPr>
      <w:r>
        <w:rPr/>
        <w:t xml:space="preserve">(1) </w:t>
      </w:r>
      <w:r>
        <w:rPr>
          <w:u w:val="single"/>
        </w:rPr>
        <w:t xml:space="preserve">By September 1, 2015, and at least every two years thereafter, a</w:t>
      </w:r>
      <w:r>
        <w:rPr/>
        <w:t xml:space="preserve">ny city, town, county, or port district setting the rates charged for taxicab services under this chapter must adjust rates to accommodate ((</w:t>
      </w:r>
      <w:r>
        <w:rPr>
          <w:strike/>
        </w:rPr>
        <w:t xml:space="preserve">changes</w:t>
      </w:r>
      <w:r>
        <w:rPr/>
        <w:t xml:space="preserve">)) </w:t>
      </w:r>
      <w:r>
        <w:rPr>
          <w:u w:val="single"/>
        </w:rPr>
        <w:t xml:space="preserve">increases or decreases</w:t>
      </w:r>
      <w:r>
        <w:rPr/>
        <w:t xml:space="preserve"> in the cost of industrial insurance ((</w:t>
      </w:r>
      <w:r>
        <w:rPr>
          <w:strike/>
        </w:rPr>
        <w:t xml:space="preserve">or in other industry-wide costs</w:t>
      </w:r>
      <w:r>
        <w:rPr/>
        <w:t xml:space="preserve">)).</w:t>
      </w:r>
    </w:p>
    <w:p>
      <w:pPr>
        <w:spacing w:before="0" w:after="0" w:line="408" w:lineRule="exact"/>
        <w:ind w:left="0" w:right="0" w:firstLine="576"/>
        <w:jc w:val="left"/>
      </w:pPr>
      <w:r>
        <w:rPr/>
        <w:t xml:space="preserve">(2) </w:t>
      </w:r>
      <w:r>
        <w:rPr>
          <w:u w:val="single"/>
        </w:rPr>
        <w:t xml:space="preserve">By September 1, 2015, and at least every two years thereafter, any city, town, county, or port district regulating lease rates under this chapter must adjust rates to accommodate increases or decreases in the cost of industrial insurance. Any changes in lease rates take effect upon entry into a new lease.</w:t>
      </w:r>
    </w:p>
    <w:p>
      <w:pPr>
        <w:spacing w:before="0" w:after="0" w:line="408" w:lineRule="exact"/>
        <w:ind w:left="0" w:right="0" w:firstLine="576"/>
        <w:jc w:val="left"/>
      </w:pPr>
      <w:r>
        <w:rPr>
          <w:u w:val="single"/>
        </w:rPr>
        <w:t xml:space="preserve">(3)</w:t>
      </w:r>
      <w:r>
        <w:rPr/>
        <w:t xml:space="preserve"> Any business that as owner leases a taxicab licensed under this chapter to a for hire operator must make a reasonable effort to train the for hire operator in motor vehicle operation and safety requirements and monitor operator compliance. Monitoring operator compliance may include the use of vehicle operator monitoring cameras.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spacing w:before="0" w:after="0" w:line="408" w:lineRule="exact"/>
        <w:ind w:left="0" w:right="0" w:firstLine="576"/>
        <w:jc w:val="left"/>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spacing w:before="0" w:after="0" w:line="408" w:lineRule="exact"/>
        <w:ind w:left="0" w:right="0" w:firstLine="576"/>
        <w:jc w:val="left"/>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spacing w:before="0" w:after="0" w:line="408" w:lineRule="exact"/>
        <w:ind w:left="0" w:right="0" w:firstLine="576"/>
        <w:jc w:val="left"/>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spacing w:before="0" w:after="0" w:line="408" w:lineRule="exact"/>
        <w:ind w:left="0" w:right="0" w:firstLine="576"/>
        <w:jc w:val="left"/>
      </w:pPr>
      <w:r>
        <w:rPr/>
        <w:t xml:space="preserve">(5)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spacing w:before="0" w:after="0" w:line="408" w:lineRule="exact"/>
        <w:ind w:left="0" w:right="0" w:firstLine="576"/>
        <w:jc w:val="left"/>
      </w:pPr>
      <w:r>
        <w:rPr/>
        <w:t xml:space="preserve">(6)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
      <w:pPr>
        <w:jc w:val="center"/>
      </w:pPr>
      <w:r>
        <w:rPr>
          <w:b/>
        </w:rPr>
        <w:t>--- END ---</w:t>
      </w:r>
    </w:p>
    <w:sectPr>
      <w:pgNumType w:start="1"/>
      <w:footerReference xmlns:r="http://schemas.openxmlformats.org/officeDocument/2006/relationships" r:id="R9037ae5e131345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c301570934e89" /><Relationship Type="http://schemas.openxmlformats.org/officeDocument/2006/relationships/footer" Target="/word/footer.xml" Id="R9037ae5e13134508" /></Relationships>
</file>