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41c45bdf64ff9" /></Relationships>
</file>

<file path=word/document.xml><?xml version="1.0" encoding="utf-8"?>
<w:document xmlns:w="http://schemas.openxmlformats.org/wordprocessingml/2006/main">
  <w:body>
    <w:p>
      <w:r>
        <w:t>S-1015.1</w:t>
      </w:r>
    </w:p>
    <w:p>
      <w:pPr>
        <w:jc w:val="center"/>
      </w:pPr>
      <w:r>
        <w:t>_______________________________________________</w:t>
      </w:r>
    </w:p>
    <w:p/>
    <w:p>
      <w:pPr>
        <w:jc w:val="center"/>
      </w:pPr>
      <w:r>
        <w:rPr>
          <w:b/>
        </w:rPr>
        <w:t>SENATE BILL 5708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Bailey, Sheldon, Becker, Baumgartner, Brown, Pearson, Warnick, and Padden</w:t>
      </w:r>
    </w:p>
    <w:p/>
    <w:p>
      <w:r>
        <w:rPr>
          <w:t xml:space="preserve">Read first time 01/29/15.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certain rented property owned by nonprofit fair associations; amending RCW 84.36.480, 82.29A.020, and 82.29A.030; reenacting and amending RCW 82.29A.020;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spacing w:before="0" w:after="0" w:line="408" w:lineRule="exact"/>
        <w:ind w:left="0" w:right="0" w:firstLine="576"/>
        <w:jc w:val="left"/>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shall not nullify the exemption if the concession charges are subject to agreement and the rental income, if any, is reasonable and is devoted solely to the operation and maintenance of the property.</w:t>
      </w:r>
    </w:p>
    <w:p>
      <w:pPr>
        <w:spacing w:before="0" w:after="0" w:line="408" w:lineRule="exact"/>
        <w:ind w:left="0" w:right="0" w:firstLine="576"/>
        <w:jc w:val="left"/>
      </w:pPr>
      <w:r>
        <w:rPr/>
        <w:t xml:space="preserve">(2)(a) Except as provided otherwise in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spacing w:before="0" w:after="0" w:line="408" w:lineRule="exact"/>
        <w:ind w:left="0" w:right="0" w:firstLine="576"/>
        <w:jc w:val="left"/>
      </w:pPr>
      <w:r>
        <w:rPr/>
        <w:t xml:space="preserve">(b) </w:t>
      </w:r>
      <w:r>
        <w:t>((</w:t>
      </w:r>
      <w:r>
        <w:rPr>
          <w:strike/>
        </w:rPr>
        <w:t xml:space="preserve">The exemption under this subsection (2) may not be claimed for taxes levied for collection in 2019 and thereafter.</w:t>
      </w:r>
      <w:r>
        <w:t>))</w:t>
      </w:r>
      <w:r>
        <w:rPr>
          <w:u w:val="single"/>
        </w:rPr>
        <w:t xml:space="preserve">Any rents or donations received for the use of a portion of the property must be reasonable and not exceed the maintenance and operation expenses of the property.</w:t>
      </w:r>
    </w:p>
    <w:p>
      <w:pPr>
        <w:spacing w:before="0" w:after="0" w:line="408" w:lineRule="exact"/>
        <w:ind w:left="0" w:right="0" w:firstLine="576"/>
        <w:jc w:val="left"/>
      </w:pPr>
      <w:r>
        <w:rPr>
          <w:u w:val="single"/>
        </w:rPr>
        <w:t xml:space="preserve">(c) If any portion of the property is knowingly rented for more than fifty days the exemption under this subsection still applies, but the rental income is subject to the tax under chapter 82.29A RCW.</w:t>
      </w:r>
    </w:p>
    <w:p>
      <w:pPr>
        <w:spacing w:before="0" w:after="0" w:line="408" w:lineRule="exact"/>
        <w:ind w:left="0" w:right="0" w:firstLine="576"/>
        <w:jc w:val="left"/>
      </w:pPr>
      <w:r>
        <w:rPr/>
        <w:t xml:space="preserve">(3) A nonprofit fair association with real and personal property having an assessed value of more than fifteen million dollars is not eligible for the exemptions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real or personal property which exists by virtue of any lease, permit, license, or any other agreement, written or verbal, between the public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 </w:t>
      </w:r>
      <w:r>
        <w:rPr>
          <w:u w:val="single"/>
        </w:rPr>
        <w:t xml:space="preserve">The term "leasehold interest" also includes portions of property owned by a nonprofit fair association exempt from property tax under RCW 84.36.480(2), but rented for periods of fifty days or more.</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 public owner or the lessee of a public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(c) "Publicly owned real or personal property" includes real or personal property owned by a federally recognized Indian tribe in the state and exempt from tax under RCW 84.36.010.</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w:t>
      </w:r>
      <w:r>
        <w:rPr>
          <w:u w:val="single"/>
        </w:rPr>
        <w:t xml:space="preserve">(a)</w:t>
      </w:r>
      <w:r>
        <w:rPr/>
        <w:t xml:space="preserve"> "Leasehold interest" means an interest in publicly owned real or personal property which exists by virtue of any lease, permit, license, or any other agreement, written or verbal, between the public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 </w:t>
      </w:r>
      <w:r>
        <w:rPr>
          <w:u w:val="single"/>
        </w:rPr>
        <w:t xml:space="preserve">The term "leasehold interest" also includes portions of property owned by a nonprofit fair association exempt from property tax under RCW 84.36.480(2), but rented for periods of fifty days or more.</w:t>
      </w:r>
    </w:p>
    <w:p>
      <w:pPr>
        <w:spacing w:before="0" w:after="0" w:line="408" w:lineRule="exact"/>
        <w:ind w:left="0" w:right="0" w:firstLine="576"/>
        <w:jc w:val="left"/>
      </w:pPr>
      <w:r>
        <w:rPr>
          <w:u w:val="single"/>
        </w:rPr>
        <w:t xml:space="preserve">(b)</w:t>
      </w:r>
      <w:r>
        <w:rPr/>
        <w:t xml:space="preserve"> The term "leasehold interest" does not include</w:t>
      </w:r>
      <w:r>
        <w:rPr>
          <w:u w:val="single"/>
        </w:rPr>
        <w:t xml:space="preserve">:</w:t>
      </w:r>
    </w:p>
    <w:p>
      <w:pPr>
        <w:spacing w:before="0" w:after="0" w:line="408" w:lineRule="exact"/>
        <w:ind w:left="0" w:right="0" w:firstLine="576"/>
        <w:jc w:val="left"/>
      </w:pPr>
      <w:r>
        <w:rPr>
          <w:u w:val="single"/>
        </w:rPr>
        <w:t xml:space="preserve">(i) R</w:t>
      </w:r>
      <w:r>
        <w:rPr/>
        <w:t xml:space="preserve">oad or utility easements, rights of access, occupancy, or use granted solely for the purpose of removing materials or products purchased from a public owner or the lessee of a public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spacing w:before="0" w:after="0" w:line="408" w:lineRule="exact"/>
        <w:ind w:left="0" w:right="0" w:firstLine="576"/>
        <w:jc w:val="left"/>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spacing w:before="0" w:after="0" w:line="408" w:lineRule="exact"/>
        <w:ind w:left="0" w:right="0" w:firstLine="576"/>
        <w:jc w:val="left"/>
      </w:pPr>
      <w:r>
        <w:rPr/>
        <w:t xml:space="preserve">(1)(a) There is levied and collected a leasehold excise tax on the act or privilege of occupying or using publicly owned real or personal property </w:t>
      </w:r>
      <w:r>
        <w:rPr>
          <w:u w:val="single"/>
        </w:rPr>
        <w:t xml:space="preserve">exempt from property taxation under RCW 84.36.480(2),</w:t>
      </w:r>
      <w:r>
        <w:rPr/>
        <w:t xml:space="preserve"> or real or personal property of a community center through a leasehold interest on and after January 1, 1976, at a rate of twelve percent of taxable rent. However, after the computation of the tax a credit is allowed for any tax collected pursuant to RCW 82.29A.040.</w:t>
      </w:r>
    </w:p>
    <w:p>
      <w:pPr>
        <w:spacing w:before="0" w:after="0" w:line="408" w:lineRule="exact"/>
        <w:ind w:left="0" w:right="0" w:firstLine="576"/>
        <w:jc w:val="left"/>
      </w:pPr>
      <w:r>
        <w:rPr/>
        <w:t xml:space="preserve">(b) For the purposes of this subsection, "community center" has the same meaning as provided in RCW 84.36.010.</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takes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
      <w:pPr>
        <w:jc w:val="center"/>
      </w:pPr>
      <w:r>
        <w:rPr>
          <w:b/>
        </w:rPr>
        <w:t>--- END ---</w:t>
      </w:r>
    </w:p>
    <w:sectPr>
      <w:pgNumType w:start="1"/>
      <w:footerReference xmlns:r="http://schemas.openxmlformats.org/officeDocument/2006/relationships" r:id="R1df7128fe0d243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0a566e571e490f" /><Relationship Type="http://schemas.openxmlformats.org/officeDocument/2006/relationships/footer" Target="/word/footer.xml" Id="R1df7128fe0d2433c" /></Relationships>
</file>