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af1b9ca7e64a2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Padden, Baumgartner, and Billig)</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assessments for nuisance abatement in cities and towns;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city or town to levy an assessment or obtain a lien for costs of abatement.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binding upon successors in title only from the date the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code city to levy an assessment or obtain a lien for costs of abatement. The notice must be sent by regular mail.</w:t>
      </w:r>
    </w:p>
    <w:p>
      <w:pPr>
        <w:spacing w:before="0" w:after="0" w:line="408" w:lineRule="exact"/>
        <w:ind w:left="0" w:right="0" w:firstLine="576"/>
        <w:jc w:val="left"/>
      </w:pPr>
      <w:r>
        <w:rPr/>
        <w:t xml:space="preserve">(2) A code city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code city for the expense of abatement. A code city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binding upon successors in title only from the date the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code city levying a special assessment under this section may contract with the county treasurer to collect the special assessment in accordance with RCW 84.56.035.</w:t>
      </w:r>
    </w:p>
    <w:p/>
    <w:p>
      <w:pPr>
        <w:jc w:val="center"/>
      </w:pPr>
      <w:r>
        <w:rPr>
          <w:b/>
        </w:rPr>
        <w:t>--- END ---</w:t>
      </w:r>
    </w:p>
    <w:sectPr>
      <w:pgNumType w:start="1"/>
      <w:footerReference xmlns:r="http://schemas.openxmlformats.org/officeDocument/2006/relationships" r:id="Rda1c00c9195342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57bb6fff8b41f6" /><Relationship Type="http://schemas.openxmlformats.org/officeDocument/2006/relationships/footer" Target="/word/footer.xml" Id="Rda1c00c919534207" /></Relationships>
</file>