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f4ab51a08745ca" /></Relationships>
</file>

<file path=word/document.xml><?xml version="1.0" encoding="utf-8"?>
<w:document xmlns:w="http://schemas.openxmlformats.org/wordprocessingml/2006/main">
  <w:body>
    <w:p>
      <w:r>
        <w:t>S-1883.2</w:t>
      </w:r>
    </w:p>
    <w:p>
      <w:pPr>
        <w:jc w:val="center"/>
      </w:pPr>
      <w:r>
        <w:t>_______________________________________________</w:t>
      </w:r>
    </w:p>
    <w:p/>
    <w:p>
      <w:pPr>
        <w:jc w:val="center"/>
      </w:pPr>
      <w:r>
        <w:rPr>
          <w:b/>
        </w:rPr>
        <w:t>SUBSTITUTE SENATE BILL 5691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Rolfes, Keiser, Nelson, Darneille, Hasegawa, Conway,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for senior citizens and persons retired because of physical disability; amending RCW 84.36.381, 84.36.383, 84.36.385, 84.38.020, and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VII, section 10 of the Washington state Constitution provides that the legislature has the power to grant relief to retired property owners from the property tax on the real property occupied as a residence by those owners. The legislature finds that the current statutory static income thresholds are inadequate because the value of a dollar has decreased over time due to inflation. This act is intended to make meaningful adjustments to the property tax relief programs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thirty-five thousand dollars or less</w:t>
      </w:r>
      <w:r>
        <w:t>))</w:t>
      </w:r>
      <w:r>
        <w:rPr/>
        <w:t xml:space="preserve"> </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 thousand dollars or less but greater than twenty-five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twenty-five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thirty-five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p>
    <w:p>
      <w:pPr>
        <w:spacing w:before="0" w:after="0" w:line="408" w:lineRule="exact"/>
        <w:ind w:left="0" w:right="0" w:firstLine="576"/>
        <w:jc w:val="left"/>
      </w:pPr>
      <w:r>
        <w:rPr>
          <w:strike/>
        </w:rPr>
        <w:t xml:space="preserve">(c) Health care insurance premiums for medicare under Title XVIII of the social security act</w:t>
      </w:r>
      <w:r>
        <w:t>))</w:t>
      </w:r>
      <w:r>
        <w:rPr/>
        <w:t xml:space="preserve"> </w:t>
      </w:r>
      <w:r>
        <w:rPr>
          <w:u w:val="single"/>
        </w:rPr>
        <w:t xml:space="preserve">(c) Health care insurance premiums for health care coverage, including dental coverage, vision coverage, copayments, and for medicare under Title XVIII of the social security act;</w:t>
      </w:r>
    </w:p>
    <w:p>
      <w:pPr>
        <w:spacing w:before="0" w:after="0" w:line="408" w:lineRule="exact"/>
        <w:ind w:left="0" w:right="0" w:firstLine="576"/>
        <w:jc w:val="left"/>
      </w:pPr>
      <w:r>
        <w:rPr>
          <w:u w:val="single"/>
        </w:rPr>
        <w:t xml:space="preserve">(d) Durable medical equipment and mobility enhancing equipment, as defined in RCW 82.08.0283; and</w:t>
      </w:r>
    </w:p>
    <w:p>
      <w:pPr>
        <w:spacing w:before="0" w:after="0" w:line="408" w:lineRule="exact"/>
        <w:ind w:left="0" w:right="0" w:firstLine="576"/>
        <w:jc w:val="left"/>
      </w:pPr>
      <w:r>
        <w:rPr>
          <w:u w:val="single"/>
        </w:rPr>
        <w:t xml:space="preserve">(e) Long-term care insurance, as defined in RCW 48.84.020</w:t>
      </w:r>
      <w:r>
        <w:rPr/>
        <w:t xml:space="preserve">.</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twenty-five thousand dollars or less, or forty-five percent of the median household income of the county in which the residence is located, whichever is greater, adjusted every five years beginning in calendar year 2019, as provided in RCW 84.36.385(7).</w:t>
      </w:r>
    </w:p>
    <w:p>
      <w:pPr>
        <w:spacing w:before="0" w:after="0" w:line="408" w:lineRule="exact"/>
        <w:ind w:left="0" w:right="0" w:firstLine="576"/>
        <w:jc w:val="left"/>
      </w:pPr>
      <w:r>
        <w:rPr>
          <w:u w:val="single"/>
        </w:rPr>
        <w:t xml:space="preserve">(9) "Income threshold 2" means a combined disposable income between twenty-five thousand and one dollars and thirty thousand dollars, or fifty-five percent of the median household income of the county in which the residence is located, whichever is greater, adjusted every five years beginning in calendar year 2019, as provided in RCW 84.36.385(7).</w:t>
      </w:r>
    </w:p>
    <w:p>
      <w:pPr>
        <w:spacing w:before="0" w:after="0" w:line="408" w:lineRule="exact"/>
        <w:ind w:left="0" w:right="0" w:firstLine="576"/>
        <w:jc w:val="left"/>
      </w:pPr>
      <w:r>
        <w:rPr>
          <w:u w:val="single"/>
        </w:rPr>
        <w:t xml:space="preserve">(10) "Income threshold 3" means a combined disposable income between thirty thousand and one dollars and thirty-five thousand dollars, or sixty-five percent of the median household income of the county in which the residence is located, whichever is greater, adjusted every five years beginning in calendar year 2019, as provided in RCW 84.36.385(7)</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For taxes levied for collection in calendar year 2019 and every five years thereafter, the department must publish updated median household income for each county by January 1st of the applicable year. The department must adjust income threshold 1, income threshold 2, and income threshold 3 to reflect the increase in the unadjusted median household income for each county over the five-year period ending in September of the previous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 a combined disposable income of less than forty thousand dollars, or seventy-five percent of the median household income of the county in which the residence is located, whichever is greater, adjusted every five years beginning in calendar year 2019,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w:t>
      </w:r>
      <w:r>
        <w:t>((</w:t>
      </w:r>
      <w:r>
        <w:rPr>
          <w:strike/>
        </w:rPr>
        <w:t xml:space="preserve">shall qualify</w:t>
      </w:r>
      <w:r>
        <w:t>))</w:t>
      </w:r>
      <w:r>
        <w:rPr/>
        <w:t xml:space="preserve"> </w:t>
      </w:r>
      <w:r>
        <w:rPr>
          <w:u w:val="single"/>
        </w:rPr>
        <w:t xml:space="preserve">qualifies</w:t>
      </w:r>
      <w:r>
        <w:rPr/>
        <w:t xml:space="preserve">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 thousand dollars or</w:t>
      </w:r>
      <w:r>
        <w:t>))</w:t>
      </w:r>
      <w:r>
        <w:rPr/>
        <w:t xml:space="preserve"> less </w:t>
      </w:r>
      <w:r>
        <w:rPr>
          <w:u w:val="single"/>
        </w:rPr>
        <w:t xml:space="preserve">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t xml:space="preserve"> </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t xml:space="preserve"> </w:t>
      </w:r>
      <w:r>
        <w:rPr>
          <w:u w:val="single"/>
        </w:rPr>
        <w:t xml:space="preserve">may</w:t>
      </w:r>
      <w:r>
        <w:rPr/>
        <w:t xml:space="preserve">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update the income thresholds every five years, following the requirements provided in RCW 84.36.385(7).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provided in RCW 82.32.805 and 82.32.808. This act is not subject to an expiration date.</w:t>
      </w:r>
    </w:p>
    <w:p/>
    <w:p>
      <w:pPr>
        <w:jc w:val="center"/>
      </w:pPr>
      <w:r>
        <w:rPr>
          <w:b/>
        </w:rPr>
        <w:t>--- END ---</w:t>
      </w:r>
    </w:p>
    <w:sectPr>
      <w:pgNumType w:start="1"/>
      <w:footerReference xmlns:r="http://schemas.openxmlformats.org/officeDocument/2006/relationships" r:id="Rcf47512d35b041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b85f4f537f49ac" /><Relationship Type="http://schemas.openxmlformats.org/officeDocument/2006/relationships/footer" Target="/word/footer.xml" Id="Rcf47512d35b041ab" /></Relationships>
</file>