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bec8b0b9c0459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5688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Rolfes, McAuliffe, Fain, Hill, Kohl-Welles, Mullet, Billig, Darneille, Jayapal, and Frockt)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implementing social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social emotional learning benchmarks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social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social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implementing a social emotional learning program and to understand individual districts' capacity to implement social emotional learning.</w:t>
      </w:r>
    </w:p>
    <w:p>
      <w:pPr>
        <w:spacing w:before="0" w:after="0" w:line="408" w:lineRule="exact"/>
        <w:ind w:left="0" w:right="0" w:firstLine="576"/>
        <w:jc w:val="left"/>
      </w:pPr>
      <w:r>
        <w:rPr/>
        <w:t xml:space="preserve">(4)(a) The work group must include persons with expertise in social emotional learning, child development, job readiness, and mental health, and the following:</w:t>
      </w:r>
    </w:p>
    <w:p>
      <w:pPr>
        <w:spacing w:before="0" w:after="0" w:line="408" w:lineRule="exact"/>
        <w:ind w:left="0" w:right="0" w:firstLine="576"/>
        <w:jc w:val="left"/>
      </w:pPr>
      <w:r>
        <w:rPr/>
        <w:t xml:space="preserve">(i) One representative from the department of early learning;</w:t>
      </w:r>
    </w:p>
    <w:p>
      <w:pPr>
        <w:spacing w:before="0" w:after="0" w:line="408" w:lineRule="exact"/>
        <w:ind w:left="0" w:right="0" w:firstLine="576"/>
        <w:jc w:val="left"/>
      </w:pPr>
      <w:r>
        <w:rPr/>
        <w:t xml:space="preserve">(ii)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(iii) One representative from the educational opportunity gap oversight and accountability committee;</w:t>
      </w:r>
    </w:p>
    <w:p>
      <w:pPr>
        <w:spacing w:before="0" w:after="0" w:line="408" w:lineRule="exact"/>
        <w:ind w:left="0" w:right="0" w:firstLine="576"/>
        <w:jc w:val="left"/>
      </w:pPr>
      <w:r>
        <w:rPr/>
        <w:t xml:space="preserve">(iv) One representative from the office of the education ombuds;</w:t>
      </w:r>
    </w:p>
    <w:p>
      <w:pPr>
        <w:spacing w:before="0" w:after="0" w:line="408" w:lineRule="exact"/>
        <w:ind w:left="0" w:right="0" w:firstLine="576"/>
        <w:jc w:val="left"/>
      </w:pPr>
      <w:r>
        <w:rPr/>
        <w:t xml:space="preserve">(v) One higher education faculty member with expertise in social and emotional learning;</w:t>
      </w:r>
    </w:p>
    <w:p>
      <w:pPr>
        <w:spacing w:before="0" w:after="0" w:line="408" w:lineRule="exact"/>
        <w:ind w:left="0" w:right="0" w:firstLine="576"/>
        <w:jc w:val="left"/>
      </w:pPr>
      <w:r>
        <w:rPr/>
        <w:t xml:space="preserve">(vi)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(vii) One school psychologist;</w:t>
      </w:r>
    </w:p>
    <w:p>
      <w:pPr>
        <w:spacing w:before="0" w:after="0" w:line="408" w:lineRule="exact"/>
        <w:ind w:left="0" w:right="0" w:firstLine="576"/>
        <w:jc w:val="left"/>
      </w:pPr>
      <w:r>
        <w:rPr/>
        <w:t xml:space="preserve">(viii) One school social worker;</w:t>
      </w:r>
    </w:p>
    <w:p>
      <w:pPr>
        <w:spacing w:before="0" w:after="0" w:line="408" w:lineRule="exact"/>
        <w:ind w:left="0" w:right="0" w:firstLine="576"/>
        <w:jc w:val="left"/>
      </w:pPr>
      <w:r>
        <w:rPr/>
        <w:t xml:space="preserve">(ix) One school counselor;</w:t>
      </w:r>
    </w:p>
    <w:p>
      <w:pPr>
        <w:spacing w:before="0" w:after="0" w:line="408" w:lineRule="exact"/>
        <w:ind w:left="0" w:right="0" w:firstLine="576"/>
        <w:jc w:val="left"/>
      </w:pPr>
      <w:r>
        <w:rPr/>
        <w:t xml:space="preserve">(x) One mental health counselor; and</w:t>
      </w:r>
    </w:p>
    <w:p>
      <w:pPr>
        <w:spacing w:before="0" w:after="0" w:line="408" w:lineRule="exact"/>
        <w:ind w:left="0" w:right="0" w:firstLine="576"/>
        <w:jc w:val="left"/>
      </w:pPr>
      <w:r>
        <w:rPr/>
        <w:t xml:space="preserve">(xi) One representative from a school parent organization.</w:t>
      </w:r>
    </w:p>
    <w:p>
      <w:pPr>
        <w:spacing w:before="0" w:after="0" w:line="408" w:lineRule="exact"/>
        <w:ind w:left="0" w:right="0" w:firstLine="576"/>
        <w:jc w:val="left"/>
      </w:pPr>
      <w:r>
        <w:rPr/>
        <w:t xml:space="preserve">(b) To the greatest extent possible, the members of the work group must reflect the cultural, racial, ethnic, gender, and geographic diversity of Washington state.</w:t>
      </w:r>
    </w:p>
    <w:p>
      <w:pPr>
        <w:spacing w:before="0" w:after="0" w:line="408" w:lineRule="exact"/>
        <w:ind w:left="0" w:right="0" w:firstLine="576"/>
        <w:jc w:val="left"/>
      </w:pPr>
      <w:r>
        <w:rPr/>
        <w:t xml:space="preserve">(5) The work group shall consult with: School districts; educational service districts; school administrators; principals; teachers; paraeducators; school counselors; community organizations serving youth; a statewide organization with a focus on social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(6)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0" w:after="0" w:line="408" w:lineRule="exact"/>
        <w:ind w:left="0" w:right="0" w:firstLine="576"/>
        <w:jc w:val="left"/>
      </w:pPr>
      <w:r>
        <w:rPr/>
        <w:t xml:space="preserve">(7) This section is subject to the availability of amounts specifically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districts may use funding provided pursuant to RCW 28A.150.260(8) to develop and update school specific action plans to implement multitiered systems of support frameworks and curriculum aligned with the frameworks. These action plans, once implemented, are intended to systemically improve schools' learning climate, student engagement, and academic performance, increase students' mental health and well-being, and reduce student discipline actions. Plans may vary by school. The multitiered systems of support frameworks may include positive behavior interventions and supports and social emotional learning in elementary schools.</w:t>
      </w:r>
    </w:p>
    <w:p>
      <w:pPr>
        <w:spacing w:before="0" w:after="0" w:line="408" w:lineRule="exact"/>
        <w:ind w:left="0" w:right="0" w:firstLine="576"/>
        <w:jc w:val="left"/>
      </w:pPr>
      <w:r>
        <w:rPr/>
        <w:t xml:space="preserve">District-developed action plans shall be submitted to the office of the superintendent of public instruction on an annual basis and the office of the superintendent of public instruction shall make these plans available on its web site.</w:t>
      </w:r>
    </w:p>
    <w:p/>
    <w:p>
      <w:pPr>
        <w:jc w:val="center"/>
      </w:pPr>
      <w:r>
        <w:rPr>
          <w:b/>
        </w:rPr>
        <w:t>--- END ---</w:t>
      </w:r>
    </w:p>
    <w:sectPr>
      <w:pgNumType w:start="1"/>
      <w:footerReference xmlns:r="http://schemas.openxmlformats.org/officeDocument/2006/relationships" r:id="R97bb28a9642e41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92ba976fa54adb" /><Relationship Type="http://schemas.openxmlformats.org/officeDocument/2006/relationships/footer" Target="/word/footer.xml" Id="R97bb28a9642e41ad" /></Relationships>
</file>