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c51e2d8a0433e" /></Relationships>
</file>

<file path=word/document.xml><?xml version="1.0" encoding="utf-8"?>
<w:document xmlns:w="http://schemas.openxmlformats.org/wordprocessingml/2006/main">
  <w:body>
    <w:p>
      <w:r>
        <w:t>S-0828.1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5682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Keiser, Rivers, Benton, and Angel</w:t>
      </w:r>
    </w:p>
    <w:p/>
    <w:p>
      <w:r>
        <w:rPr>
          <w:t xml:space="preserve">Read first time 01/28/15.  </w:t>
        </w:rPr>
      </w:r>
      <w:r>
        <w:rPr>
          <w:t xml:space="preserve">Referred to Committee on Health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signatures of advanced registered nurse practitioners on required documentation; and adding a new section to chapter 18.79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advanced registered nurse practitioner may sign and attest to any certificates, cards, forms, or other required documentation that a physician may sign, so long as it is within the advanced registered nurse practitioner's scope of practice.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8dc7c3a324e431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5682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046510e024737" /><Relationship Type="http://schemas.openxmlformats.org/officeDocument/2006/relationships/footer" Target="/word/footer.xml" Id="R18dc7c3a324e4316" /></Relationships>
</file>