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7c93bf782f49f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5673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Kohl-Welles, Roach, Miloscia, Pearson, and Darneille</w:t>
      </w:r>
    </w:p>
    <w:p/>
    <w:p>
      <w:r>
        <w:rPr>
          <w:t xml:space="preserve">Read first time 01/28/15.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distribution of synthetic cannabinoids and bath salts; amending RCW 69.50.204 and 69.50.430; adding a new section to chapter 19.86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It is a violation of RCW 19.86.020 for any person or entity to distribute, dispense, manufacture, display for sale, offer for sale, attempt to sell, or sell to a purchaser any product that contains any amount of any synthetic cannabinoid, cathinone, or methcathinone as identified in RCW 69.50.204(e) (3) and (5).</w:t>
      </w:r>
    </w:p>
    <w:p>
      <w:pPr>
        <w:spacing w:before="0" w:after="0" w:line="408" w:lineRule="exact"/>
        <w:ind w:left="0" w:right="0" w:firstLine="576"/>
        <w:jc w:val="left"/>
      </w:pPr>
      <w:r>
        <w:rPr/>
        <w:t xml:space="preserve">(2) "Synthetic cannabinoid" includes any chemical compound identified in RCW 69.50.204(c)(30) or by the pharmacy quality assurance commission under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(N-phenyl-N-[1-(2-thienyl)ethyl-4-piperidinyl]-propanaminde);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(i)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(ii) 6 - cis - or trans tetrahydrocannabinol, and their optical isomers;</w:t>
      </w:r>
    </w:p>
    <w:p>
      <w:pPr>
        <w:spacing w:before="0" w:after="0" w:line="408" w:lineRule="exact"/>
        <w:ind w:left="0" w:right="0" w:firstLine="576"/>
        <w:jc w:val="left"/>
      </w:pPr>
      <w:r>
        <w:rPr/>
        <w:t xml:space="preserve">(iii) 3,4 - cis - or trans tetrahydrocannabinol, and its optical isomers; </w:t>
      </w:r>
      <w:r>
        <w:rPr>
          <w:u w:val="single"/>
        </w:rPr>
        <w:t xml:space="preserve">or</w:t>
      </w:r>
    </w:p>
    <w:p>
      <w:pPr>
        <w:spacing w:before="0" w:after="0" w:line="408" w:lineRule="exact"/>
        <w:ind w:left="0" w:right="0" w:firstLine="576"/>
        <w:jc w:val="left"/>
      </w:pPr>
      <w:r>
        <w:rPr>
          <w:u w:val="single"/>
        </w:rPr>
        <w:t xml:space="preserve">(iv) That is chemically synthesized and either:</w:t>
      </w:r>
    </w:p>
    <w:p>
      <w:pPr>
        <w:spacing w:before="0" w:after="0" w:line="408" w:lineRule="exact"/>
        <w:ind w:left="0" w:right="0" w:firstLine="576"/>
        <w:jc w:val="left"/>
      </w:pPr>
      <w:r>
        <w:rPr>
          <w:u w:val="single"/>
        </w:rPr>
        <w:t xml:space="preserve">(a) Has been demonstrated to have binding activity at one or more cannabinoid receptors; or</w:t>
      </w:r>
    </w:p>
    <w:p>
      <w:pPr>
        <w:spacing w:before="0" w:after="0" w:line="408" w:lineRule="exact"/>
        <w:ind w:left="0" w:right="0" w:firstLine="576"/>
        <w:jc w:val="left"/>
      </w:pPr>
      <w:r>
        <w:rPr>
          <w:u w:val="single"/>
        </w:rPr>
        <w:t xml:space="preserve">(b)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person convicted of a felony violation of RCW 69.50.401 through 69.50.4013, 69.50.4015, 69.50.402, 69.50.403, 69.50.406, 69.50.407, 69.50.410, or 69.50.415 shall be fined one thousand dollars in addition to any other fine or penalty imposed. Unless the court finds the person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person shall be fined two thousand dollars in addition to any other fine or penalty imposed. Unless the court finds the person to be indigent, this additional fine shall not be suspended or deferred by the court.</w:t>
      </w:r>
    </w:p>
    <w:p>
      <w:pPr>
        <w:spacing w:before="0" w:after="0" w:line="408" w:lineRule="exact"/>
        <w:ind w:left="0" w:right="0" w:firstLine="576"/>
        <w:jc w:val="left"/>
      </w:pPr>
      <w:r>
        <w:rPr>
          <w:u w:val="single"/>
        </w:rPr>
        <w:t xml:space="preserve">(3) In addition to any other civil or criminal penalty, every person who violates or causes another to violate RCW 69.50.401 by distributing, dispensing, manufacturing, displaying for sale, offering for sale, attempting to sell, or selling to a purchaser any product that contains any amount of any synthetic cannabinoid, cathinone, or methcathinone, as identified in RCW 69.50.204, shall be fined not less than ten thousand dollars and not more than five hundred thousand dollars. If, however, the person who violates or causes another to violate RCW 69.50.401 by distributing, dispensing, manufacturing, displaying for sale, offering for sale, attempting to sell, or selling any product that contains any amount of any synthetic cannabinoid, cathinone, or methcathinone, as identified in RCW 69.50.204, to a purchaser under the age of eighteen, the minimum penalty shall be twenty-five thousand dollars if the person is at least two years older than the minor. Unless the court finds the person to be indigent, this additional fine shall not be suspended or deferred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patrol shall create a pilot program that uses technologies and protocols to instantly identify synthetic cannabinoids, cathinones, and methcathinones (synthetic drugs), as well as other illicit drugs. The pilot program shall focus on using technology capable of presumptive identification of illicit drugs in the field.</w:t>
      </w:r>
    </w:p>
    <w:p>
      <w:pPr>
        <w:spacing w:before="0" w:after="0" w:line="408" w:lineRule="exact"/>
        <w:ind w:left="0" w:right="0" w:firstLine="576"/>
        <w:jc w:val="left"/>
      </w:pPr>
      <w:r>
        <w:rPr/>
        <w:t xml:space="preserve">(2) A minimum of five separate districts in the state shall be equipped to operate the pilot program. The state patrol may choose to have one or more of the pilot sites located within a city or county police department.</w:t>
      </w:r>
    </w:p>
    <w:p>
      <w:pPr>
        <w:spacing w:before="0" w:after="0" w:line="408" w:lineRule="exact"/>
        <w:ind w:left="0" w:right="0" w:firstLine="576"/>
        <w:jc w:val="left"/>
      </w:pPr>
      <w:r>
        <w:rPr/>
        <w:t xml:space="preserve">(3) Prior to July 30, 2016, the state patrol shall submit a report to the appropriate committees of the legislature outlining the findings of the pilot program, and make any recommendation on whether the technologies and protocols selected for the pilot program may be used to help prevent the growth of synthetic drugs and other illicit drugs throughout the state. Specifically, the evaluation shall include, but is not limited to, the following:</w:t>
      </w:r>
    </w:p>
    <w:p>
      <w:pPr>
        <w:spacing w:before="0" w:after="0" w:line="408" w:lineRule="exact"/>
        <w:ind w:left="0" w:right="0" w:firstLine="576"/>
        <w:jc w:val="left"/>
      </w:pPr>
      <w:r>
        <w:rPr/>
        <w:t xml:space="preserve">(a) A review of technical capabilities and accuracy rates of technologies and protocols selected for the pilot program;</w:t>
      </w:r>
    </w:p>
    <w:p>
      <w:pPr>
        <w:spacing w:before="0" w:after="0" w:line="408" w:lineRule="exact"/>
        <w:ind w:left="0" w:right="0" w:firstLine="576"/>
        <w:jc w:val="left"/>
      </w:pPr>
      <w:r>
        <w:rPr/>
        <w:t xml:space="preserve">(b) A description of the impact to state and local crime lab backlogs if the technologies and protocols selected could eliminate the need to send synthetic drugs, or other illicit drugs, to the crime lab for presumptive testing, including the potential cost savings to state and local governments;</w:t>
      </w:r>
    </w:p>
    <w:p>
      <w:pPr>
        <w:spacing w:before="0" w:after="0" w:line="408" w:lineRule="exact"/>
        <w:ind w:left="0" w:right="0" w:firstLine="576"/>
        <w:jc w:val="left"/>
      </w:pPr>
      <w:r>
        <w:rPr/>
        <w:t xml:space="preserve">(c) A description of the status of courts' acceptance of the technologies and protocols selected for the pilot program for the presumptive identification of synthetic drugs and other illicit drugs.</w:t>
      </w:r>
    </w:p>
    <w:p/>
    <w:p>
      <w:pPr>
        <w:jc w:val="center"/>
      </w:pPr>
      <w:r>
        <w:rPr>
          <w:b/>
        </w:rPr>
        <w:t>--- END ---</w:t>
      </w:r>
    </w:p>
    <w:sectPr>
      <w:pgNumType w:start="1"/>
      <w:footerReference xmlns:r="http://schemas.openxmlformats.org/officeDocument/2006/relationships" r:id="Raf8879fafb8348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650626f324e7a" /><Relationship Type="http://schemas.openxmlformats.org/officeDocument/2006/relationships/footer" Target="/word/footer.xml" Id="Raf8879fafb834820" /></Relationships>
</file>