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59aacd62d543e6" /></Relationships>
</file>

<file path=word/document.xml><?xml version="1.0" encoding="utf-8"?>
<w:document xmlns:w="http://schemas.openxmlformats.org/wordprocessingml/2006/main">
  <w:body>
    <w:p>
      <w:r>
        <w:t>S-1851.1</w:t>
      </w:r>
    </w:p>
    <w:p>
      <w:pPr>
        <w:jc w:val="center"/>
      </w:pPr>
      <w:r>
        <w:t>_______________________________________________</w:t>
      </w:r>
    </w:p>
    <w:p/>
    <w:p>
      <w:pPr>
        <w:jc w:val="center"/>
      </w:pPr>
      <w:r>
        <w:rPr>
          <w:b/>
        </w:rPr>
        <w:t>SUBSTITUTE SENATE BILL 5661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Mullet, Keiser, and Benton)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legislature holding work sessions on state ballot measures; and amending RCW 42.52.180.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2011 c 60 s 30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w:t>
      </w:r>
      <w:r>
        <w:rPr>
          <w:u w:val="single"/>
        </w:rPr>
        <w:t xml:space="preserve">The legislature may hold work sessions on state ballot measures.</w:t>
      </w:r>
      <w:r>
        <w:rPr/>
        <w:t xml:space="preserve">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 The maintenance of official legislative web sites throughout the year, regardless of pending elections. The web sites may contain any discretionary material which was also specifically prepared for the legislator in the course of his or her duties as a legislator, including newsletters and press releases. The official legislative web sites of legislators seeking reelection shall not be altered between June 30th and November 15th of the election year. The web site shall not be used for campaign purposes;</w:t>
      </w:r>
    </w:p>
    <w:p>
      <w:pPr>
        <w:spacing w:before="0" w:after="0" w:line="408" w:lineRule="exact"/>
        <w:ind w:left="0" w:right="0" w:firstLine="576"/>
        <w:jc w:val="left"/>
      </w:pPr>
      <w:r>
        <w:rPr/>
        <w:t xml:space="preserve">(d) Activities that are part of the normal and regular conduct of the office or agency;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
      <w:pPr>
        <w:jc w:val="center"/>
      </w:pPr>
      <w:r>
        <w:rPr>
          <w:b/>
        </w:rPr>
        <w:t>--- END ---</w:t>
      </w:r>
    </w:p>
    <w:sectPr>
      <w:pgNumType w:start="1"/>
      <w:footerReference xmlns:r="http://schemas.openxmlformats.org/officeDocument/2006/relationships" r:id="Rdbd9542b4d294a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8d5cc782274e16" /><Relationship Type="http://schemas.openxmlformats.org/officeDocument/2006/relationships/footer" Target="/word/footer.xml" Id="Rdbd9542b4d294ad9" /></Relationships>
</file>