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f850a07324241" /></Relationships>
</file>

<file path=word/document.xml><?xml version="1.0" encoding="utf-8"?>
<w:document xmlns:w="http://schemas.openxmlformats.org/wordprocessingml/2006/main">
  <w:body>
    <w:p>
      <w:r>
        <w:t>S-1009.2</w:t>
      </w:r>
    </w:p>
    <w:p>
      <w:pPr>
        <w:jc w:val="center"/>
      </w:pPr>
      <w:r>
        <w:t>_______________________________________________</w:t>
      </w:r>
    </w:p>
    <w:p/>
    <w:p>
      <w:pPr>
        <w:jc w:val="center"/>
      </w:pPr>
      <w:r>
        <w:rPr>
          <w:b/>
        </w:rPr>
        <w:t>SENATE BILL 5651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Kohl-Welles, Frockt, Jayapal, Keiser, and Hasegawa</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detention for truant students found in contempt of a court order; and amending RCW 28A.225.090 and 7.21.030.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including suspensions;</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Be referred to a community truancy board, if available; or</w:t>
      </w:r>
    </w:p>
    <w:p>
      <w:pPr>
        <w:spacing w:before="0" w:after="0" w:line="408" w:lineRule="exact"/>
        <w:ind w:left="0" w:right="0" w:firstLine="576"/>
        <w:jc w:val="left"/>
      </w:pPr>
      <w:r>
        <w:rPr/>
        <w:t xml:space="preserve">(e) Submit to testing for the use of controlled substances or alcohol based on a determination that such testing is appropriate to the circumstances and behavior of the child and will facilitate the child's compliance with the mandatory attendance law and, if any test ordered under this subsection indicates the use of controlled substances or alcohol, order the minor to abstain from the unlawful consumption of controlled substances or alcohol and adhere to the recommendations of the drug assessment at no expense to the school.</w:t>
      </w:r>
    </w:p>
    <w:p>
      <w:pPr>
        <w:spacing w:before="0" w:after="0" w:line="408" w:lineRule="exact"/>
        <w:ind w:left="0" w:right="0" w:firstLine="576"/>
        <w:jc w:val="left"/>
      </w:pPr>
      <w:r>
        <w:rPr/>
        <w:t xml:space="preserve">(2) If the child fails to comply with the court order,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A</w:t>
      </w:r>
      <w:r>
        <w:t>))</w:t>
      </w:r>
      <w:r>
        <w:rPr>
          <w:u w:val="single"/>
        </w:rPr>
        <w:t xml:space="preserve">consistent with best practice models for reengagement with school. No</w:t>
      </w:r>
      <w:r>
        <w:rPr/>
        <w:t xml:space="preserve"> warrant of arrest for a child under this subsection may </w:t>
      </w:r>
      <w:r>
        <w:t>((</w:t>
      </w:r>
      <w:r>
        <w:rPr>
          <w:strike/>
        </w:rPr>
        <w:t xml:space="preserve">not</w:t>
      </w:r>
      <w:r>
        <w:t>))</w:t>
      </w:r>
      <w:r>
        <w:rPr/>
        <w:t xml:space="preserve"> be </w:t>
      </w:r>
      <w:r>
        <w:t>((</w:t>
      </w:r>
      <w:r>
        <w:rPr>
          <w:strike/>
        </w:rPr>
        <w:t xml:space="preserve">served on a child inside of school during school hours in a location where other students are present</w:t>
      </w:r>
      <w:r>
        <w:t>))</w:t>
      </w:r>
      <w:r>
        <w:rPr>
          <w:u w:val="single"/>
        </w:rPr>
        <w:t xml:space="preserve">issued</w:t>
      </w:r>
      <w:r>
        <w:rPr/>
        <w:t xml:space="preserve">.</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u w:val="single"/>
        </w:rPr>
        <w:t xml:space="preserve">consistent with best practice models for reengagement with school</w:t>
      </w:r>
      <w:r>
        <w:rPr/>
        <w:t xml:space="preserve">.</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 In cases under chapters 13.32A</w:t>
      </w:r>
      <w:r>
        <w:t>((</w:t>
      </w:r>
      <w:r>
        <w:rPr>
          <w:strike/>
        </w:rPr>
        <w:t xml:space="preserve">,</w:t>
      </w:r>
      <w:r>
        <w:t>))</w:t>
      </w:r>
      <w:r>
        <w:rPr>
          <w:u w:val="single"/>
        </w:rPr>
        <w:t xml:space="preserve">and</w:t>
      </w:r>
      <w:r>
        <w:rPr/>
        <w:t xml:space="preserve"> 13.34</w:t>
      </w:r>
      <w:r>
        <w:t>((</w:t>
      </w:r>
      <w:r>
        <w:rPr>
          <w:strike/>
        </w:rPr>
        <w:t xml:space="preserve">, and 28A.225</w:t>
      </w:r>
      <w:r>
        <w:t>))</w:t>
      </w:r>
      <w:r>
        <w:rPr/>
        <w:t xml:space="preserve"> RCW, commitment to juvenile detention for a period of time not to exceed seven days.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
      <w:pPr>
        <w:jc w:val="center"/>
      </w:pPr>
      <w:r>
        <w:rPr>
          <w:b/>
        </w:rPr>
        <w:t>--- END ---</w:t>
      </w:r>
    </w:p>
    <w:sectPr>
      <w:pgNumType w:start="1"/>
      <w:footerReference xmlns:r="http://schemas.openxmlformats.org/officeDocument/2006/relationships" r:id="R6829adc04a6b45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ffde9433e4eb0" /><Relationship Type="http://schemas.openxmlformats.org/officeDocument/2006/relationships/footer" Target="/word/footer.xml" Id="R6829adc04a6b45ed" /></Relationships>
</file>