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ac3873650d4c1a" /></Relationships>
</file>

<file path=word/document.xml><?xml version="1.0" encoding="utf-8"?>
<w:document xmlns:w="http://schemas.openxmlformats.org/wordprocessingml/2006/main">
  <w:body>
    <w:p>
      <w:r>
        <w:t>S-1105.1</w:t>
      </w:r>
    </w:p>
    <w:p>
      <w:pPr>
        <w:jc w:val="center"/>
      </w:pPr>
      <w:r>
        <w:t>_______________________________________________</w:t>
      </w:r>
    </w:p>
    <w:p/>
    <w:p>
      <w:pPr>
        <w:jc w:val="center"/>
      </w:pPr>
      <w:r>
        <w:rPr>
          <w:b/>
        </w:rPr>
        <w:t>SENATE BILL 5643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Dammeier, and Darneille</w:t>
      </w:r>
    </w:p>
    <w:p/>
    <w:p>
      <w:r>
        <w:rPr>
          <w:t xml:space="preserve">Read first time 01/27/15.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firearms access by a person detained for involuntary mental health treatment; amending RCW 9.41.047; and adding a new section to chapter 71.05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When a designated mental health professional conducts an investigation and evaluation of a person under RCW 71.05.150 or 71.05.153 and the designated mental health professional finds (a) that the person meets criteria for detention; and either (b) the circumstances leading to detention involve the use or threatened use of a firearm; or (c) during in the course of the investigation, the person made statements or engaged in conduct indicating a substantial risk that the person may seek to obtain and use or threaten use of a firearm; the designated mental health professional must forward a copy of the detention petition and supporting information to the prosecuting attorney within two business days.</w:t>
      </w:r>
    </w:p>
    <w:p>
      <w:pPr>
        <w:spacing w:before="0" w:after="0" w:line="408" w:lineRule="exact"/>
        <w:ind w:left="0" w:right="0" w:firstLine="576"/>
        <w:jc w:val="left"/>
      </w:pPr>
      <w:r>
        <w:rPr/>
        <w:t xml:space="preserve">(2) If no petition for further commitment of the person is filed under RCW 71.05.240, the prosecutor may file a motion in superior court to determine that the person is ineligible to possess a firearm. The prosecutor shall issue a summons to the person, who has the right to counsel. If a petition for further commitment under RCW 71.05.240 is filed, the prosecutor may bring this motion in the event that the court does not adjudicate the petition or does not commit the person for further treatment.</w:t>
      </w:r>
    </w:p>
    <w:p>
      <w:pPr>
        <w:spacing w:before="0" w:after="0" w:line="408" w:lineRule="exact"/>
        <w:ind w:left="0" w:right="0" w:firstLine="576"/>
        <w:jc w:val="left"/>
      </w:pPr>
      <w:r>
        <w:rPr/>
        <w:t xml:space="preserve">(3) The court shall grant the motion following an evidentiary hearing if it finds by a preponderance of the evidence that:</w:t>
      </w:r>
    </w:p>
    <w:p>
      <w:pPr>
        <w:spacing w:before="0" w:after="0" w:line="408" w:lineRule="exact"/>
        <w:ind w:left="0" w:right="0" w:firstLine="576"/>
        <w:jc w:val="left"/>
      </w:pPr>
      <w:r>
        <w:rPr/>
        <w:t xml:space="preserve">(a) The person suffers from a mental disorder; and</w:t>
      </w:r>
    </w:p>
    <w:p>
      <w:pPr>
        <w:spacing w:before="0" w:after="0" w:line="408" w:lineRule="exact"/>
        <w:ind w:left="0" w:right="0" w:firstLine="576"/>
        <w:jc w:val="left"/>
      </w:pPr>
      <w:r>
        <w:rPr/>
        <w:t xml:space="preserve">(b) The person was placed in initial detention under RCW 71.05.150 or 71.05.153 and a substantial nexus exists between the circumstances of the detention and the use or threatened use of a firearm.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2011 c 193 s 2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w:t>
      </w:r>
      <w:r>
        <w:rPr>
          <w:u w:val="single"/>
        </w:rPr>
        <w:t xml:space="preserve">section 1 of this act,</w:t>
      </w:r>
      <w:r>
        <w:rPr/>
        <w:t xml:space="preserve"> or chapter 10.77 RCW for mental health treatment, the convicting or committing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convicting or committing court shall forward within three judicial days after conviction or entry of the commitment order a copy of the person's driver's license or identicard, or comparable information, along with the date of conviction or commitment, to the department of licensing. When a person is committed by court order under RCW 71.05.240, 71.05.320, 71.34.740, 71.34.750, or chapter 10.77 RCW, for mental health treatment,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the superior court of the county in which the petitioner resides.</w:t>
      </w:r>
    </w:p>
    <w:p>
      <w:pPr>
        <w:spacing w:before="0" w:after="0" w:line="408" w:lineRule="exact"/>
        <w:ind w:left="0" w:right="0" w:firstLine="576"/>
        <w:jc w:val="left"/>
      </w:pPr>
      <w:r>
        <w:rPr/>
        <w:t xml:space="preserve">(c) Except as provided in (d)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department of social and health services, and the national instant criminal background check system index, denied persons file.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
      <w:pPr>
        <w:jc w:val="center"/>
      </w:pPr>
      <w:r>
        <w:rPr>
          <w:b/>
        </w:rPr>
        <w:t>--- END ---</w:t>
      </w:r>
    </w:p>
    <w:sectPr>
      <w:pgNumType w:start="1"/>
      <w:footerReference xmlns:r="http://schemas.openxmlformats.org/officeDocument/2006/relationships" r:id="R4c09593f400e43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cc53396fb74e5a" /><Relationship Type="http://schemas.openxmlformats.org/officeDocument/2006/relationships/footer" Target="/word/footer.xml" Id="R4c09593f400e43b5" /></Relationships>
</file>