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09326bd406488f" /></Relationships>
</file>

<file path=word/document.xml><?xml version="1.0" encoding="utf-8"?>
<w:document xmlns:w="http://schemas.openxmlformats.org/wordprocessingml/2006/main">
  <w:body>
    <w:p>
      <w:r>
        <w:t>S-0873.1</w:t>
      </w:r>
    </w:p>
    <w:p>
      <w:pPr>
        <w:jc w:val="center"/>
      </w:pPr>
      <w:r>
        <w:t>_______________________________________________</w:t>
      </w:r>
    </w:p>
    <w:p/>
    <w:p>
      <w:pPr>
        <w:jc w:val="center"/>
      </w:pPr>
      <w:r>
        <w:rPr>
          <w:b/>
        </w:rPr>
        <w:t>SENATE BILL 5605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Jayapal, Kohl-Welles, and McAuliffe</w:t>
      </w:r>
    </w:p>
    <w:p/>
    <w:p>
      <w:r>
        <w:rPr>
          <w:t xml:space="preserve">Read first time 01/26/15.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arrest of sixteen and seventeen year olds for domestic violence assault; and reenacting and amending RCW 10.31.100.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w:t>
      </w:r>
      <w:r>
        <w:t>((</w:t>
      </w:r>
      <w:r>
        <w:rPr>
          <w:strike/>
        </w:rPr>
        <w:t xml:space="preserve">(11)</w:t>
      </w:r>
      <w:r>
        <w:t>))</w:t>
      </w:r>
      <w:r>
        <w:rPr>
          <w:u w:val="single"/>
        </w:rPr>
        <w:t xml:space="preserve">(12)</w:t>
      </w:r>
      <w:r>
        <w:rPr/>
        <w:t xml:space="preserve">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w:t>
      </w:r>
      <w:r>
        <w:t>((</w:t>
      </w:r>
      <w:r>
        <w:rPr>
          <w:strike/>
        </w:rPr>
        <w:t xml:space="preserve">sixteen</w:t>
      </w:r>
      <w:r>
        <w:t>))</w:t>
      </w:r>
      <w:r>
        <w:rPr>
          <w:u w:val="single"/>
        </w:rPr>
        <w:t xml:space="preserve">eighteen</w:t>
      </w:r>
      <w:r>
        <w:rPr/>
        <w:t xml:space="preserve">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w:t>
      </w:r>
      <w:r>
        <w:t>((</w:t>
      </w:r>
      <w:r>
        <w:rPr>
          <w:strike/>
        </w:rPr>
        <w:t xml:space="preserve">(i)</w:t>
      </w:r>
      <w:r>
        <w:t>))</w:t>
      </w:r>
      <w:r>
        <w:rPr>
          <w:u w:val="single"/>
        </w:rPr>
        <w:t xml:space="preserve">(A)</w:t>
      </w:r>
      <w:r>
        <w:rPr/>
        <w:t xml:space="preserve"> The intent to protect victims of domestic violence under RCW 10.99.010; </w:t>
      </w:r>
      <w:r>
        <w:t>((</w:t>
      </w:r>
      <w:r>
        <w:rPr>
          <w:strike/>
        </w:rPr>
        <w:t xml:space="preserve">(ii)</w:t>
      </w:r>
      <w:r>
        <w:t>))</w:t>
      </w:r>
      <w:r>
        <w:rPr>
          <w:u w:val="single"/>
        </w:rPr>
        <w:t xml:space="preserve">(B)</w:t>
      </w:r>
      <w:r>
        <w:rPr/>
        <w:t xml:space="preserve"> the comparative extent of injuries inflicted or serious threats creating fear of physical injury; and </w:t>
      </w:r>
      <w:r>
        <w:t>((</w:t>
      </w:r>
      <w:r>
        <w:rPr>
          <w:strike/>
        </w:rPr>
        <w:t xml:space="preserve">(iii)</w:t>
      </w:r>
      <w:r>
        <w:t>))</w:t>
      </w:r>
      <w:r>
        <w:rPr>
          <w:u w:val="single"/>
        </w:rPr>
        <w:t xml:space="preserve">(C)</w:t>
      </w:r>
      <w:r>
        <w:rPr/>
        <w:t xml:space="preserve"> the history of domestic violence of each person involved, including whether the conduct was part of an ongoing pattern of abuse.</w:t>
      </w:r>
    </w:p>
    <w:p>
      <w:pPr>
        <w:spacing w:before="0" w:after="0" w:line="408" w:lineRule="exact"/>
        <w:ind w:left="0" w:right="0" w:firstLine="576"/>
        <w:jc w:val="left"/>
      </w:pPr>
      <w:r>
        <w:rPr/>
        <w:t xml:space="preserve">(3) </w:t>
      </w:r>
      <w:r>
        <w:rPr>
          <w:u w:val="single"/>
        </w:rPr>
        <w:t xml:space="preserve">Any police officer may arrest a person who is sixteen or seventeen years old and within the preceding four hours has assaulted a family or household member as defined in RCW 10.99.020 and the officer believes: (a) A felonious assault has occurred; (b) an assault has occurred which has resulted in bodily injury to the victim, whether the injury is observable by the responding officer or not; or (c) that any physical action has occurred which was intended to cause another person reasonably to fear imminent serious bodily injury or death. In making the determination to arrest, the officer shall consider: (i) The intent to protect victims of domestic violence under RCW 10.99.010; (ii) the extent of injuries inflicted or serious threats creating fear of physical injury; and (iii) the history of domestic violence or stalking of each person involved, including whether the conduct was part of an ongoing pattern of abuse.</w:t>
      </w:r>
    </w:p>
    <w:p>
      <w:pPr>
        <w:spacing w:before="0" w:after="0" w:line="408" w:lineRule="exact"/>
        <w:ind w:left="0" w:right="0" w:firstLine="576"/>
        <w:jc w:val="left"/>
      </w:pPr>
      <w:r>
        <w:rPr>
          <w:u w:val="single"/>
        </w:rPr>
        <w:t xml:space="preserve">(4)</w:t>
      </w:r>
      <w:r>
        <w:rPr/>
        <w:t xml:space="preserve">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t>((</w:t>
      </w:r>
      <w:r>
        <w:rPr>
          <w:strike/>
        </w:rPr>
        <w:t xml:space="preserve">(4)</w:t>
      </w:r>
      <w:r>
        <w:t>))</w:t>
      </w:r>
      <w:r>
        <w:rPr>
          <w:u w:val="single"/>
        </w:rPr>
        <w:t xml:space="preserve">(5)</w:t>
      </w:r>
      <w:r>
        <w:rPr/>
        <w:t xml:space="preserve">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t>((</w:t>
      </w:r>
      <w:r>
        <w:rPr>
          <w:strike/>
        </w:rPr>
        <w:t xml:space="preserve">(5)</w:t>
      </w:r>
      <w:r>
        <w:t>))</w:t>
      </w:r>
      <w:r>
        <w:rPr>
          <w:u w:val="single"/>
        </w:rPr>
        <w:t xml:space="preserve">(6)</w:t>
      </w:r>
      <w:r>
        <w:rPr/>
        <w:t xml:space="preserve">(a)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t>((</w:t>
      </w:r>
      <w:r>
        <w:rPr>
          <w:strike/>
        </w:rPr>
        <w:t xml:space="preserve">(6)</w:t>
      </w:r>
      <w:r>
        <w:t>))</w:t>
      </w:r>
      <w:r>
        <w:rPr>
          <w:u w:val="single"/>
        </w:rPr>
        <w:t xml:space="preserve">(7)</w:t>
      </w:r>
      <w:r>
        <w:rPr/>
        <w:t xml:space="preserve">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t>((</w:t>
      </w:r>
      <w:r>
        <w:rPr>
          <w:strike/>
        </w:rPr>
        <w:t xml:space="preserve">(7)</w:t>
      </w:r>
      <w:r>
        <w:t>))</w:t>
      </w:r>
      <w:r>
        <w:rPr>
          <w:u w:val="single"/>
        </w:rPr>
        <w:t xml:space="preserve">(8)</w:t>
      </w:r>
      <w:r>
        <w:rPr/>
        <w:t xml:space="preserve">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t>((</w:t>
      </w:r>
      <w:r>
        <w:rPr>
          <w:strike/>
        </w:rPr>
        <w:t xml:space="preserve">(8)</w:t>
      </w:r>
      <w:r>
        <w:t>))</w:t>
      </w:r>
      <w:r>
        <w:rPr>
          <w:u w:val="single"/>
        </w:rPr>
        <w:t xml:space="preserve">(9)</w:t>
      </w:r>
      <w:r>
        <w:rPr/>
        <w:t xml:space="preserve">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t>((</w:t>
      </w:r>
      <w:r>
        <w:rPr>
          <w:strike/>
        </w:rPr>
        <w:t xml:space="preserve">(9)</w:t>
      </w:r>
      <w:r>
        <w:t>))</w:t>
      </w:r>
      <w:r>
        <w:rPr>
          <w:u w:val="single"/>
        </w:rPr>
        <w:t xml:space="preserve">(10)</w:t>
      </w:r>
      <w:r>
        <w:rPr/>
        <w:t xml:space="preserve">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t>((</w:t>
      </w:r>
      <w:r>
        <w:rPr>
          <w:strike/>
        </w:rPr>
        <w:t xml:space="preserve">(10)</w:t>
      </w:r>
      <w:r>
        <w:t>))</w:t>
      </w:r>
      <w:r>
        <w:rPr>
          <w:u w:val="single"/>
        </w:rPr>
        <w:t xml:space="preserve">(11)</w:t>
      </w:r>
      <w:r>
        <w:rPr/>
        <w:t xml:space="preserve">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t>((</w:t>
      </w:r>
      <w:r>
        <w:rPr>
          <w:strike/>
        </w:rPr>
        <w:t xml:space="preserve">(11)</w:t>
      </w:r>
      <w:r>
        <w:t>))</w:t>
      </w:r>
      <w:r>
        <w:rPr>
          <w:u w:val="single"/>
        </w:rPr>
        <w:t xml:space="preserve">(12)</w:t>
      </w:r>
      <w:r>
        <w:rPr/>
        <w:t xml:space="preserve">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t>((</w:t>
      </w:r>
      <w:r>
        <w:rPr>
          <w:strike/>
        </w:rPr>
        <w:t xml:space="preserve">(12)</w:t>
      </w:r>
      <w:r>
        <w:t>))</w:t>
      </w:r>
      <w:r>
        <w:rPr>
          <w:u w:val="single"/>
        </w:rPr>
        <w:t xml:space="preserve">(13)</w:t>
      </w:r>
      <w:r>
        <w:rPr/>
        <w:t xml:space="preserve">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t>((</w:t>
      </w:r>
      <w:r>
        <w:rPr>
          <w:strike/>
        </w:rPr>
        <w:t xml:space="preserve">(13)</w:t>
      </w:r>
      <w:r>
        <w:t>))</w:t>
      </w:r>
      <w:r>
        <w:rPr>
          <w:u w:val="single"/>
        </w:rPr>
        <w:t xml:space="preserve">(14)</w:t>
      </w:r>
      <w:r>
        <w:rPr/>
        <w:t xml:space="preserve">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t>((</w:t>
      </w:r>
      <w:r>
        <w:rPr>
          <w:strike/>
        </w:rPr>
        <w:t xml:space="preserve">(14)</w:t>
      </w:r>
      <w:r>
        <w:t>))</w:t>
      </w:r>
      <w:r>
        <w:rPr>
          <w:u w:val="single"/>
        </w:rPr>
        <w:t xml:space="preserve">(15)</w:t>
      </w:r>
      <w:r>
        <w:rPr/>
        <w:t xml:space="preserve"> Except as specifically provided in subsections (2), </w:t>
      </w:r>
      <w:r>
        <w:t>((</w:t>
      </w:r>
      <w:r>
        <w:rPr>
          <w:strike/>
        </w:rPr>
        <w:t xml:space="preserve">(3)</w:t>
      </w:r>
      <w:r>
        <w:t>))</w:t>
      </w:r>
      <w:r>
        <w:rPr>
          <w:u w:val="single"/>
        </w:rPr>
        <w:t xml:space="preserve">(4)</w:t>
      </w:r>
      <w:r>
        <w:rPr/>
        <w:t xml:space="preserve">, </w:t>
      </w:r>
      <w:r>
        <w:t>((</w:t>
      </w:r>
      <w:r>
        <w:rPr>
          <w:strike/>
        </w:rPr>
        <w:t xml:space="preserve">(4)</w:t>
      </w:r>
      <w:r>
        <w:t>))</w:t>
      </w:r>
      <w:r>
        <w:rPr>
          <w:u w:val="single"/>
        </w:rPr>
        <w:t xml:space="preserve">(5)</w:t>
      </w:r>
      <w:r>
        <w:rPr/>
        <w:t xml:space="preserve">, and </w:t>
      </w:r>
      <w:r>
        <w:t>((</w:t>
      </w:r>
      <w:r>
        <w:rPr>
          <w:strike/>
        </w:rPr>
        <w:t xml:space="preserve">(7)</w:t>
      </w:r>
      <w:r>
        <w:t>))</w:t>
      </w:r>
      <w:r>
        <w:rPr>
          <w:u w:val="single"/>
        </w:rPr>
        <w:t xml:space="preserve">(8)</w:t>
      </w:r>
      <w:r>
        <w:rPr/>
        <w:t xml:space="preserve"> of this section, nothing in this section extends or otherwise affects the powers of arrest prescribed in Title 46 RCW.</w:t>
      </w:r>
    </w:p>
    <w:p>
      <w:pPr>
        <w:spacing w:before="0" w:after="0" w:line="408" w:lineRule="exact"/>
        <w:ind w:left="0" w:right="0" w:firstLine="576"/>
        <w:jc w:val="left"/>
      </w:pPr>
      <w:r>
        <w:t>((</w:t>
      </w:r>
      <w:r>
        <w:rPr>
          <w:strike/>
        </w:rPr>
        <w:t xml:space="preserve">(15)</w:t>
      </w:r>
      <w:r>
        <w:t>))</w:t>
      </w:r>
      <w:r>
        <w:rPr>
          <w:u w:val="single"/>
        </w:rPr>
        <w:t xml:space="preserve">(16)</w:t>
      </w:r>
      <w:r>
        <w:rPr/>
        <w:t xml:space="preserve"> No police officer may be held criminally or civilly liable for making an arrest pursuant to subsection (2) or </w:t>
      </w:r>
      <w:r>
        <w:t>((</w:t>
      </w:r>
      <w:r>
        <w:rPr>
          <w:strike/>
        </w:rPr>
        <w:t xml:space="preserve">(9)</w:t>
      </w:r>
      <w:r>
        <w:t>))</w:t>
      </w:r>
      <w:r>
        <w:rPr>
          <w:u w:val="single"/>
        </w:rPr>
        <w:t xml:space="preserve">(10)</w:t>
      </w:r>
      <w:r>
        <w:rPr/>
        <w:t xml:space="preserve"> of this section if the police officer acts in good faith and without malice.</w:t>
      </w:r>
    </w:p>
    <w:p>
      <w:pPr>
        <w:spacing w:before="0" w:after="0" w:line="408" w:lineRule="exact"/>
        <w:ind w:left="0" w:right="0" w:firstLine="576"/>
        <w:jc w:val="left"/>
      </w:pPr>
      <w:r>
        <w:t>((</w:t>
      </w:r>
      <w:r>
        <w:rPr>
          <w:strike/>
        </w:rPr>
        <w:t xml:space="preserve">(16)</w:t>
      </w:r>
      <w:r>
        <w:t>))</w:t>
      </w:r>
      <w:r>
        <w:rPr>
          <w:u w:val="single"/>
        </w:rPr>
        <w:t xml:space="preserve">(17)</w:t>
      </w:r>
      <w:r>
        <w:rPr/>
        <w:t xml:space="preserve">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
      <w:pPr>
        <w:jc w:val="center"/>
      </w:pPr>
      <w:r>
        <w:rPr>
          <w:b/>
        </w:rPr>
        <w:t>--- END ---</w:t>
      </w:r>
    </w:p>
    <w:sectPr>
      <w:pgNumType w:start="1"/>
      <w:footerReference xmlns:r="http://schemas.openxmlformats.org/officeDocument/2006/relationships" r:id="Reb073c09d49e42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10fe8c34734f25" /><Relationship Type="http://schemas.openxmlformats.org/officeDocument/2006/relationships/footer" Target="/word/footer.xml" Id="Reb073c09d49e42ed" /></Relationships>
</file>