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1f5f28d6c9445c" /></Relationships>
</file>

<file path=word/document.xml><?xml version="1.0" encoding="utf-8"?>
<w:document xmlns:w="http://schemas.openxmlformats.org/wordprocessingml/2006/main">
  <w:body>
    <w:p>
      <w:r>
        <w:t>S-0797.1</w:t>
      </w:r>
    </w:p>
    <w:p>
      <w:pPr>
        <w:jc w:val="center"/>
      </w:pPr>
      <w:r>
        <w:t>_______________________________________________</w:t>
      </w:r>
    </w:p>
    <w:p/>
    <w:p>
      <w:pPr>
        <w:jc w:val="center"/>
      </w:pPr>
      <w:r>
        <w:rPr>
          <w:b/>
        </w:rPr>
        <w:t>SENATE BILL 5594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Bailey, Braun, Angel, Parlette, Schoesler, Dammeier, and Hewitt</w:t>
      </w:r>
    </w:p>
    <w:p/>
    <w:p>
      <w:r>
        <w:rPr>
          <w:t xml:space="preserve">Read first time 01/26/15.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federal funding programs requiring changes in state law; adding a new section to chapter 44.28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federal government has, on occasion, required states to change state law as a condition of receiving federal funds. There are legal limits to that practice. In </w:t>
      </w:r>
      <w:r>
        <w:rPr>
          <w:i/>
        </w:rPr>
        <w:t xml:space="preserve">National Federation of Independent Business (NFIB) v. Sebelius</w:t>
      </w:r>
      <w:r>
        <w:rPr/>
        <w:t xml:space="preserve">, 567 U.S. ___, 132 S. Ct. 2566 (2012), the United States supreme court ruled that a provision in United States Public Law 111- 148, the patient protection and affordable care act, requiring states to expand medicaid coverage as a condition of receiving medicaid funding, was impermissibly coercive.</w:t>
      </w:r>
    </w:p>
    <w:p>
      <w:pPr>
        <w:spacing w:before="0" w:after="0" w:line="408" w:lineRule="exact"/>
        <w:ind w:left="0" w:right="0" w:firstLine="576"/>
        <w:jc w:val="left"/>
      </w:pPr>
      <w:r>
        <w:rPr/>
        <w:t xml:space="preserve">(2) The legislature further finds that requirements in federal law to change Washington law as a condition of receiving federal funds have, on occasion, required Washington to expand state programs, driving costs of state government up and raising concerns that future federal funding will not cover the expanded obligations.</w:t>
      </w:r>
    </w:p>
    <w:p>
      <w:pPr>
        <w:spacing w:before="0" w:after="0" w:line="408" w:lineRule="exact"/>
        <w:ind w:left="0" w:right="0" w:firstLine="576"/>
        <w:jc w:val="left"/>
      </w:pPr>
      <w:r>
        <w:rPr/>
        <w:t xml:space="preserve">(3) The legislature further finds that these funding conditions should receive closer scrutiny, and therefore directs the joint legislative audit and review committee to annually report to the legislature regarding federal funding programs affecting Washington state health and human services agencies that require changes in state statutes as a condition of receiving federal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legislative audit and review committee must, by December 1st each year, report to the legislature regarding federal funding programs greater than twenty-five million dollars in biennial expenditures affecting Washington state health and human services agencies and the common school system that specify conditions requiring changes in state statutes as a condition of receiving federal funding.</w:t>
      </w:r>
    </w:p>
    <w:p/>
    <w:p>
      <w:pPr>
        <w:jc w:val="center"/>
      </w:pPr>
      <w:r>
        <w:rPr>
          <w:b/>
        </w:rPr>
        <w:t>--- END ---</w:t>
      </w:r>
    </w:p>
    <w:sectPr>
      <w:pgNumType w:start="1"/>
      <w:footerReference xmlns:r="http://schemas.openxmlformats.org/officeDocument/2006/relationships" r:id="Raf6201da874b46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531c1c28c94907" /><Relationship Type="http://schemas.openxmlformats.org/officeDocument/2006/relationships/footer" Target="/word/footer.xml" Id="Raf6201da874b46f4" /></Relationships>
</file>