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b322194d1403e" /></Relationships>
</file>

<file path=word/document.xml><?xml version="1.0" encoding="utf-8"?>
<w:document xmlns:w="http://schemas.openxmlformats.org/wordprocessingml/2006/main">
  <w:body>
    <w:p>
      <w:r>
        <w:t>S-1618.1</w:t>
      </w:r>
    </w:p>
    <w:p>
      <w:pPr>
        <w:jc w:val="center"/>
      </w:pPr>
      <w:r>
        <w:t>_______________________________________________</w:t>
      </w:r>
    </w:p>
    <w:p/>
    <w:p>
      <w:pPr>
        <w:jc w:val="center"/>
      </w:pPr>
      <w:r>
        <w:rPr>
          <w:b/>
        </w:rPr>
        <w:t>SUBSTITUTE SENATE BILL 5579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Dammeier, Roach, Becker, Padden, Conway, Hobbs, Angel, Honeyford, Pearson, Sheldon, and Hatfield)</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firearms transfers involving licensed security guards from background check requirements;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w:t>
      </w:r>
      <w:r>
        <w:rPr>
          <w:u w:val="single"/>
        </w:rPr>
        <w:t xml:space="preserve">A transfer of a firearm between private security guards licensed under chapter 18.170 RCW, a transfer of a firearm between the owner of the firearm and a private security guard licensed under chapter 18.170 RCW, or a transfer of a firearm between a person being trained to be a licensed security guard under the supervision of a certified firearms instructor;</w:t>
      </w:r>
    </w:p>
    <w:p>
      <w:pPr>
        <w:spacing w:before="0" w:after="0" w:line="408" w:lineRule="exact"/>
        <w:ind w:left="0" w:right="0" w:firstLine="576"/>
        <w:jc w:val="left"/>
      </w:pP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9e0c28c6f2d346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c32b719094ece" /><Relationship Type="http://schemas.openxmlformats.org/officeDocument/2006/relationships/footer" Target="/word/footer.xml" Id="R9e0c28c6f2d34618" /></Relationships>
</file>