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2d1c68cdb4577" /></Relationships>
</file>

<file path=word/document.xml><?xml version="1.0" encoding="utf-8"?>
<w:document xmlns:w="http://schemas.openxmlformats.org/wordprocessingml/2006/main">
  <w:body>
    <w:p>
      <w:r>
        <w:t>S-0831.1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5568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Conway, Hasegawa, Jayapal, Frockt, Chase, Keiser, Darneille, Nelson, Rolfes, Liias, Kohl-Welles, Ranker, McCoy, McAuliffe, Fraser, and Billig</w:t>
      </w:r>
    </w:p>
    <w:p/>
    <w:p>
      <w:r>
        <w:rPr>
          <w:t xml:space="preserve">Read first time 01/23/15.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damages for wage violations; amending RCW 49.52.070;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49</w:t>
      </w:r>
      <w:r>
        <w:rPr/>
        <w:t xml:space="preserve">.</w:t>
      </w:r>
      <w:r>
        <w:t xml:space="preserve">52</w:t>
      </w:r>
      <w:r>
        <w:rPr/>
        <w:t xml:space="preserve">.</w:t>
      </w:r>
      <w:r>
        <w:t xml:space="preserve">070</w:t>
      </w:r>
      <w:r>
        <w:rPr/>
        <w:t xml:space="preserve"> and 2010 c 8 s 12056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Any employer and any officer, vice principal or agent of any employer who shall violate any of the provisions of RCW 49.52.050 (1) and (2) shall be liable in a civil action by the aggrieved employee or his or her assignee to judgment for ((</w:t>
      </w:r>
      <w:r>
        <w:rPr>
          <w:strike/>
        </w:rPr>
        <w:t xml:space="preserve">twice</w:t>
      </w:r>
      <w:r>
        <w:rPr/>
        <w:t xml:space="preserve">)) the amount of the wages unlawfully rebated or withheld </w:t>
      </w:r>
      <w:r>
        <w:rPr>
          <w:u w:val="single"/>
        </w:rPr>
        <w:t xml:space="preserve">plus twice that amount</w:t>
      </w:r>
      <w:r>
        <w:rPr/>
        <w:t xml:space="preserve"> by way of exemplary damages, together with costs of suit and a reasonable sum for attorney's fees((</w:t>
      </w:r>
      <w:r>
        <w:rPr>
          <w:strike/>
        </w:rPr>
        <w:t xml:space="preserve">: PROVIDED, HOWEVER, That the benefits of this section shall not be available to any employee who has knowingly submitted to such violations</w:t>
      </w:r>
      <w:r>
        <w:rPr/>
        <w:t xml:space="preserve">)).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b90f36974a74c5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5568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ca18f413d436e" /><Relationship Type="http://schemas.openxmlformats.org/officeDocument/2006/relationships/footer" Target="/word/footer.xml" Id="Rab90f36974a74c5d" /></Relationships>
</file>