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8ac298b1d460f" /></Relationships>
</file>

<file path=word/document.xml><?xml version="1.0" encoding="utf-8"?>
<w:document xmlns:w="http://schemas.openxmlformats.org/wordprocessingml/2006/main">
  <w:body>
    <w:p>
      <w:r>
        <w:t>S-0862.1</w:t>
      </w:r>
    </w:p>
    <w:p>
      <w:pPr>
        <w:jc w:val="center"/>
      </w:pPr>
      <w:r>
        <w:t>_______________________________________________</w:t>
      </w:r>
    </w:p>
    <w:p/>
    <w:p>
      <w:pPr>
        <w:jc w:val="center"/>
      </w:pPr>
      <w:r>
        <w:rPr>
          <w:b/>
        </w:rPr>
        <w:t>SENATE BILL 5564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Darneille, Miloscia, Hargrove, Kohl-Welles, Fain, Jayapal, Brown, Habib, Dammeier, Frockt, Litzow, Warnick, Hasegawa, and McAuliffe</w:t>
      </w:r>
    </w:p>
    <w:p/>
    <w:p>
      <w:r>
        <w:rPr>
          <w:t xml:space="preserve">Read first time 01/23/15.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13.50.270, 13.40.190, 7.68.035, 7.80.130, 9.08.070, 9.08.072, 9.46.1961, 9.68A.105, 9.68A.106, 9.94A.550, 9A.20.021, 9A.50.030, 9A.56.060, 9A.56.085, 9A.88.120, 9A.88.140, 10.73.160, 10.82.090, 10.99.080, 13.40.080, 36.18.016, 36.18.020, 36.18.040, 43.43.690, 46.61.5054, 46.61.5055, 69.50.401, 69.50.425, 69.50.430, 69.50.435, and 77.15.420; reenacting and amending RCW 13.50.010 and 13.40.127; adding a new section to chapter 13.34 RCW; adding a new section to chapter 13.50 RCW; and repealing RCW 13.40.145 and 13.40.085.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(b)</w:t>
      </w:r>
      <w:r>
        <w:t>))</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t>((</w:t>
      </w:r>
      <w:r>
        <w:rPr>
          <w:strike/>
        </w:rPr>
        <w:t xml:space="preserve">(c)</w:t>
      </w:r>
      <w:r>
        <w:t>))</w:t>
      </w:r>
      <w:r>
        <w:rPr>
          <w:u w:val="single"/>
        </w:rPr>
        <w:t xml:space="preserve">(d)</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(d)</w:t>
      </w:r>
      <w:r>
        <w:t>))</w:t>
      </w:r>
      <w:r>
        <w:rPr>
          <w:u w:val="single"/>
        </w:rPr>
        <w:t xml:space="preserve">(e)</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and juvenile's attorney. At a contested hearing, the restitution portion of the dispositional order may be modified as to amount, terms, and conditions for good cause shown, including ability to pay.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u w:val="single"/>
        </w:rPr>
        <w:t xml:space="preserve">has either paid the full amount of restitution or made a good faith effort to pay the full amount of restitution. If the court enters a written order sealing the juvenile court file for a case in which restitution is still owing, the court shall issue a civil restitution order pursuant to RCW 7.80.130 in the amount of any unpaid restitution. Before the court seals a record, the court may modify the restitution still owing as to amount, terms, and conditions for good cause shown, including ability to pay. The juvenile respondent's presence is not required at a sealing hearing pursuant to this subsection</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w:t>
      </w:r>
      <w:r>
        <w:t>((</w:t>
      </w:r>
      <w:r>
        <w:rPr>
          <w:strike/>
        </w:rPr>
        <w:t xml:space="preserve">Full restitution has been paid</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w:t>
      </w:r>
      <w:r>
        <w:t>((</w:t>
      </w:r>
      <w:r>
        <w:rPr>
          <w:strike/>
        </w:rPr>
        <w:t xml:space="preserve">Full restitution has been paid</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w:t>
      </w:r>
      <w:r>
        <w:rPr>
          <w:u w:val="single"/>
        </w:rPr>
        <w:t xml:space="preserve">records of the offense maintained by the department of licensing,</w:t>
      </w:r>
      <w:r>
        <w:rPr/>
        <w:t xml:space="preserv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person's criminal history consists entirely of one diversion agreement or counsel and release entered on or after June 12, 2008;</w:t>
      </w:r>
    </w:p>
    <w:p>
      <w:pPr>
        <w:spacing w:before="0" w:after="0" w:line="408" w:lineRule="exact"/>
        <w:ind w:left="0" w:right="0" w:firstLine="576"/>
        <w:jc w:val="left"/>
      </w:pPr>
      <w:r>
        <w:rPr/>
        <w:t xml:space="preserve">(iii) Two years have elapsed since completion of the agreement or counsel and release;</w:t>
      </w:r>
    </w:p>
    <w:p>
      <w:pPr>
        <w:spacing w:before="0" w:after="0" w:line="408" w:lineRule="exact"/>
        <w:ind w:left="0" w:right="0" w:firstLine="576"/>
        <w:jc w:val="left"/>
      </w:pPr>
      <w:r>
        <w:rPr/>
        <w:t xml:space="preserve">(iv) No proceeding is pending against the person seeking the conviction of a criminal offense; and</w:t>
      </w:r>
    </w:p>
    <w:p>
      <w:pPr>
        <w:spacing w:before="0" w:after="0" w:line="408" w:lineRule="exact"/>
        <w:ind w:left="0" w:right="0" w:firstLine="576"/>
        <w:jc w:val="left"/>
      </w:pPr>
      <w:r>
        <w:rPr/>
        <w:t xml:space="preserve">(v) </w:t>
      </w:r>
      <w:r>
        <w:t>((</w:t>
      </w:r>
      <w:r>
        <w:rPr>
          <w:strike/>
        </w:rPr>
        <w:t xml:space="preserve">There is no restitution owing in the case</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(b)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rPr/>
        <w:t xml:space="preserve">(c)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the restitution, the court may order performance of a number of hours of community restitution in lieu of monetary penalty, at the rate of the then state minimum wage per hour.</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w:t>
      </w:r>
      <w:r>
        <w:rPr>
          <w:u w:val="single"/>
        </w:rPr>
        <w:t xml:space="preserve">for good cause shown, including inability to pay</w:t>
      </w:r>
      <w:r>
        <w:rPr/>
        <w:t xml:space="preserv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all such participants shall be jointly and severally responsible for the payment of restitution.</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and could not reasonably acquire the means to pay the insurance provider the restitution over a ten-year period.</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w:t>
      </w:r>
      <w:r>
        <w:rPr>
          <w:u w:val="single"/>
        </w:rPr>
        <w:t xml:space="preserve">or relief from</w:t>
      </w:r>
      <w:r>
        <w:rPr/>
        <w:t xml:space="preserve"> the restitution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any </w:t>
      </w:r>
      <w:r>
        <w:t>((</w:t>
      </w:r>
      <w:r>
        <w:rPr>
          <w:strike/>
        </w:rPr>
        <w:t xml:space="preserve">person</w:t>
      </w:r>
      <w:r>
        <w:t>))</w:t>
      </w:r>
      <w:r>
        <w:rPr>
          <w:u w:val="single"/>
        </w:rPr>
        <w:t xml:space="preserve">adult</w:t>
      </w:r>
      <w:r>
        <w:rPr/>
        <w:t xml:space="preserve">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any offense in any juvenile offense disposition under Title 13 RCW, except as provided in subsection (2) of this section, there shall be imposed upon the juvenile offender a penalty assessment. The assessment shall be in addition to any other penalty or fine imposed by law and shall be one hundred dollars for each case or cause of action that includes one or more adjudications for a felony or gross misdemeanor and seventy-five dollars for each case or cause of action that includes adjudications of only one or more misdemeanors.</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130</w:t>
      </w:r>
      <w:r>
        <w:rPr/>
        <w:t xml:space="preserve"> and 2002 c 175 s 1 are each amended to read as follows:</w:t>
      </w:r>
    </w:p>
    <w:p>
      <w:pPr>
        <w:spacing w:before="0" w:after="0" w:line="408" w:lineRule="exact"/>
        <w:ind w:left="0" w:right="0" w:firstLine="576"/>
        <w:jc w:val="left"/>
      </w:pPr>
      <w:r>
        <w:rPr/>
        <w:t xml:space="preserve">(1) An order entered after the receipt of a response which does not contest the determination, or after it has been established at a hearing that the civil infraction was committed, or after a hearing for the purpose of explaining mitigating circumstances</w:t>
      </w:r>
      <w:r>
        <w:rPr>
          <w:u w:val="single"/>
        </w:rPr>
        <w:t xml:space="preserve">, or at the dismissal of a deferred disposition pursuant to RCW 13.40.127, or at the sealing of a juvenile record pursuant to RCW 13.50.260</w:t>
      </w:r>
      <w:r>
        <w:rPr/>
        <w:t xml:space="preserve"> is civil in nature.</w:t>
      </w:r>
    </w:p>
    <w:p>
      <w:pPr>
        <w:spacing w:before="0" w:after="0" w:line="408" w:lineRule="exact"/>
        <w:ind w:left="0" w:right="0" w:firstLine="576"/>
        <w:jc w:val="left"/>
      </w:pPr>
      <w:r>
        <w:rPr/>
        <w:t xml:space="preserve">(2) The court may waive, reduce, or suspend the monetary penalty prescribed for the civil infraction. If the court determines that a person has insufficient funds to pay the monetary penalty, the court may order performance of a number of hours of community restitution in lieu of a monetary penalty, at the rate of the then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u w:val="single"/>
        </w:rPr>
        <w:t xml:space="preserve">an adult</w:t>
      </w:r>
      <w:r>
        <w:rPr/>
        <w:t xml:space="preserve"> owner of </w:t>
      </w:r>
      <w:r>
        <w:t>((</w:t>
      </w:r>
      <w:r>
        <w:rPr>
          <w:strike/>
        </w:rPr>
        <w:t xml:space="preserve">the</w:t>
      </w:r>
      <w:r>
        <w:t>))</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pursuant to RCW 13.40.145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w:t>
      </w:r>
      <w:r>
        <w:t>((</w:t>
      </w:r>
      <w:r>
        <w:rPr>
          <w:strike/>
        </w:rPr>
        <w:t xml:space="preserve">and the full amount of restitution ordered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28d7b268b9d941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fd651f8cd4e7c" /><Relationship Type="http://schemas.openxmlformats.org/officeDocument/2006/relationships/footer" Target="/word/footer.xml" Id="R28d7b268b9d9415e" /></Relationships>
</file>