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5a1aa715f473a" /></Relationships>
</file>

<file path=word/document.xml><?xml version="1.0" encoding="utf-8"?>
<w:document xmlns:w="http://schemas.openxmlformats.org/wordprocessingml/2006/main">
  <w:body>
    <w:p>
      <w:r>
        <w:t>S-0900.1</w:t>
      </w:r>
    </w:p>
    <w:p>
      <w:pPr>
        <w:jc w:val="center"/>
      </w:pPr>
      <w:r>
        <w:t>_______________________________________________</w:t>
      </w:r>
    </w:p>
    <w:p/>
    <w:p>
      <w:pPr>
        <w:jc w:val="center"/>
      </w:pPr>
      <w:r>
        <w:rPr>
          <w:b/>
        </w:rPr>
        <w:t>SENATE BILL 5547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Rivers, Angel, Becker, Warnick, Honeyford, and Padden</w:t>
      </w:r>
    </w:p>
    <w:p/>
    <w:p>
      <w:r>
        <w:rPr>
          <w:t xml:space="preserve">Read first time 01/23/15.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minimum grade point average or equivalent to renew a state need grant; and amending RCW 28B.92.060.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w:t>
      </w:r>
      <w:r>
        <w:rPr>
          <w:u w:val="single"/>
        </w:rPr>
        <w:t xml:space="preserve">and maintaining at least a 2.5 grade point average except for those students attending The Evergreen State College. Students enrolled at The Evergreen State College must meet the requirements of the college's satisfactory academic progress policy for state financial aid to remain qualified</w:t>
      </w:r>
      <w:r>
        <w:rPr/>
        <w:t xml:space="preserv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
      <w:pPr>
        <w:jc w:val="center"/>
      </w:pPr>
      <w:r>
        <w:rPr>
          <w:b/>
        </w:rPr>
        <w:t>--- END ---</w:t>
      </w:r>
    </w:p>
    <w:sectPr>
      <w:pgNumType w:start="1"/>
      <w:footerReference xmlns:r="http://schemas.openxmlformats.org/officeDocument/2006/relationships" r:id="Rb3b2fcfc1c7c49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d25332ee64008" /><Relationship Type="http://schemas.openxmlformats.org/officeDocument/2006/relationships/footer" Target="/word/footer.xml" Id="Rb3b2fcfc1c7c492b" /></Relationships>
</file>