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53232dfa254e71" /></Relationships>
</file>

<file path=word/document.xml><?xml version="1.0" encoding="utf-8"?>
<w:document xmlns:w="http://schemas.openxmlformats.org/wordprocessingml/2006/main">
  <w:body>
    <w:p>
      <w:r>
        <w:t>S-0107.1</w:t>
      </w:r>
    </w:p>
    <w:p>
      <w:pPr>
        <w:jc w:val="center"/>
      </w:pPr>
      <w:r>
        <w:t>_______________________________________________</w:t>
      </w:r>
    </w:p>
    <w:p/>
    <w:p>
      <w:pPr>
        <w:jc w:val="center"/>
      </w:pPr>
      <w:r>
        <w:rPr>
          <w:b/>
        </w:rPr>
        <w:t>SENATE BILL 5539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Sheldon, Angel, and Warnick</w:t>
      </w:r>
    </w:p>
    <w:p/>
    <w:p>
      <w:r>
        <w:rPr>
          <w:t xml:space="preserve">Read first time 01/23/15.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delivery of a pistol to a current law enforcement officer; and amending RCW 9.41.090.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 s 5 (Initiative Measure No. 594)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w:t>
      </w:r>
      <w:r>
        <w:rPr>
          <w:u w:val="single"/>
        </w:rPr>
        <w:t xml:space="preserve">The purchaser produces current, valid identification as a general law enforcement officer and the dealer has recorded the purchaser's name, identification number, and issuing agency, such record to be made in triplicate and processed as provided in subsection (5) of this section. For the purposes of this subsection (1)(b), "general law enforcement officer" means a person who is commissioned and employed by an employer on a full-time, fully compensated basis to enforce the criminal laws of the state of Washington generally;</w:t>
      </w:r>
    </w:p>
    <w:p>
      <w:pPr>
        <w:spacing w:before="0" w:after="0" w:line="408" w:lineRule="exact"/>
        <w:ind w:left="0" w:right="0" w:firstLine="576"/>
        <w:jc w:val="left"/>
      </w:pPr>
      <w:r>
        <w:rPr>
          <w:u w:val="single"/>
        </w:rPr>
        <w:t xml:space="preserve">(c)</w:t>
      </w:r>
      <w:r>
        <w:rPr/>
        <w:t xml:space="preserve">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t>((</w:t>
      </w:r>
      <w:r>
        <w:rPr>
          <w:strike/>
        </w:rPr>
        <w:t xml:space="preserve">(c)</w:t>
      </w:r>
      <w:r>
        <w:t>))</w:t>
      </w:r>
      <w:r>
        <w:rPr>
          <w:u w:val="single"/>
        </w:rPr>
        <w:t xml:space="preserve">(d)</w:t>
      </w:r>
      <w:r>
        <w:rPr/>
        <w:t xml:space="preserve"> The requirements or time periods in RCW 9.41.--- (section 4, chapter ... (Initiative Measure No. 594), Laws of 2015)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until the warrant for arrest is served and satisfied by appropriate court appearance. The local jurisdiction for purposes of the sale shall confirm the existence of outstanding warrants within seventy-two hours after notification of the application to purchase a pistol is received. The local jurisdiction shall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 At the time of applying for the purchase of a pistol, the purchaser shall sign in triplicate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and manufacturer's number if available at the time of applying for the purchase of a pistol.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t xml:space="preserve">The application shall contain a warning substantially as follows:</w:t>
      </w:r>
    </w:p>
    <w:p>
      <w:pPr>
        <w:spacing w:before="12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t xml:space="preserve">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under RCW 9.41.040 or 9.41.045, or federal law.</w:t>
      </w:r>
    </w:p>
    <w:p>
      <w:pPr>
        <w:spacing w:before="0" w:after="0" w:line="408" w:lineRule="exact"/>
        <w:ind w:left="0" w:right="0" w:firstLine="576"/>
        <w:jc w:val="left"/>
      </w:pPr>
      <w:r>
        <w:rPr/>
        <w:t xml:space="preserve">The chief of police of the municipality or the sheriff of the county shall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
      <w:pPr>
        <w:jc w:val="center"/>
      </w:pPr>
      <w:r>
        <w:rPr>
          <w:b/>
        </w:rPr>
        <w:t>--- END ---</w:t>
      </w:r>
    </w:p>
    <w:sectPr>
      <w:pgNumType w:start="1"/>
      <w:footerReference xmlns:r="http://schemas.openxmlformats.org/officeDocument/2006/relationships" r:id="R17138b727ab343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bbd3ae22f747fa" /><Relationship Type="http://schemas.openxmlformats.org/officeDocument/2006/relationships/footer" Target="/word/footer.xml" Id="R17138b727ab34309" /></Relationships>
</file>