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0b0f46c25f4247" /></Relationships>
</file>

<file path=word/document.xml><?xml version="1.0" encoding="utf-8"?>
<w:document xmlns:w="http://schemas.openxmlformats.org/wordprocessingml/2006/main">
  <w:body>
    <w:p>
      <w:r>
        <w:t>S-0093.1</w:t>
      </w:r>
    </w:p>
    <w:p>
      <w:pPr>
        <w:jc w:val="center"/>
      </w:pPr>
      <w:r>
        <w:t>_______________________________________________</w:t>
      </w:r>
    </w:p>
    <w:p/>
    <w:p>
      <w:pPr>
        <w:jc w:val="center"/>
      </w:pPr>
      <w:r>
        <w:rPr>
          <w:b/>
        </w:rPr>
        <w:t>SENATE BILL 5503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Padden, Litzow, Baumgartner, Miloscia, Conway, Rivers, Becker, Angel, Schoesler, Warnick, Sheldon, Honeyford, Chase, and Pearson</w:t>
      </w:r>
    </w:p>
    <w:p/>
    <w:p>
      <w:r>
        <w:rPr>
          <w:t xml:space="preserve">Read first time 01/22/15.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special allegation for habitual property offenders; amending RCW 9.94A.533; adding a new section to chapter 9.94A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there to be a significant number of property crimes in Washington and that the current practices in the criminal justice system are ineffective in reducing recidivism.</w:t>
      </w:r>
    </w:p>
    <w:p>
      <w:pPr>
        <w:spacing w:before="0" w:after="0" w:line="408" w:lineRule="exact"/>
        <w:ind w:left="0" w:right="0" w:firstLine="576"/>
        <w:jc w:val="left"/>
      </w:pPr>
      <w:r>
        <w:rPr/>
        <w:t xml:space="preserve">(2) The legislature further finds that a large portion of property crimes in Washington are committed by habitual offenders.  Increasing the sanctions for habitual property offenders will provide more effective deterrents to recidivism. The legislature intends to enhance the courts' discretion to more appropriately sentence habitual property offenders with significant histories of burglary and theft.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The prosecuting attorney may file a special allegation when sufficient evidence exists to show that the accused is a habitual property offender.</w:t>
      </w:r>
    </w:p>
    <w:p>
      <w:pPr>
        <w:spacing w:before="0" w:after="0" w:line="408" w:lineRule="exact"/>
        <w:ind w:left="0" w:right="0" w:firstLine="576"/>
        <w:jc w:val="left"/>
      </w:pPr>
      <w:r>
        <w:rPr/>
        <w:t xml:space="preserve">(2) In a criminal case in which there has been a special allegation and the accused has been convicted of the underlying crime, the court shall make a finding of fact prior to sentencing whether the person is a habitual property offender based on the person's criminal history. If the court finds by a preponderance of the evidence that the person is a habitual property offender, the person shall be sentenced in accordance with RCW 9.94A.533(15).</w:t>
      </w:r>
    </w:p>
    <w:p>
      <w:pPr>
        <w:spacing w:before="0" w:after="0" w:line="408" w:lineRule="exact"/>
        <w:ind w:left="0" w:right="0" w:firstLine="576"/>
        <w:jc w:val="left"/>
      </w:pPr>
      <w:r>
        <w:rPr/>
        <w:t xml:space="preserve">(3) For purposes of this section, a person is a habitual property offender if:</w:t>
      </w:r>
    </w:p>
    <w:p>
      <w:pPr>
        <w:spacing w:before="0" w:after="0" w:line="408" w:lineRule="exact"/>
        <w:ind w:left="0" w:right="0" w:firstLine="576"/>
        <w:jc w:val="left"/>
      </w:pPr>
      <w:r>
        <w:rPr/>
        <w:t xml:space="preserve">(a) The present felony conviction for which the person is being sentenced is for residential burglary, burglary in the second degree, theft in the first degree, theft in the second degree, theft of a firearm, unlawful issuance of checks or drafts, organized retail theft, theft with special circumstances, or mail theft;</w:t>
      </w:r>
    </w:p>
    <w:p>
      <w:pPr>
        <w:spacing w:before="0" w:after="0" w:line="408" w:lineRule="exact"/>
        <w:ind w:left="0" w:right="0" w:firstLine="576"/>
        <w:jc w:val="left"/>
      </w:pPr>
      <w:r>
        <w:rPr/>
        <w:t xml:space="preserve">(b) The person has an offender score of nine points or higher;</w:t>
      </w:r>
    </w:p>
    <w:p>
      <w:pPr>
        <w:spacing w:before="0" w:after="0" w:line="408" w:lineRule="exact"/>
        <w:ind w:left="0" w:right="0" w:firstLine="576"/>
        <w:jc w:val="left"/>
      </w:pPr>
      <w:r>
        <w:rPr/>
        <w:t xml:space="preserve">(c) At least nine of the points in the person's offender score result from any combination of the following felony offenses: Residential burglary, burglary in the second degree, theft in the first degree, theft in the second degree, theft of a firearm, unlawful issuance of checks or drafts, organized retail theft, theft with special circumstances, or mail theft; and</w:t>
      </w:r>
    </w:p>
    <w:p>
      <w:pPr>
        <w:spacing w:before="0" w:after="0" w:line="408" w:lineRule="exact"/>
        <w:ind w:left="0" w:right="0" w:firstLine="576"/>
        <w:jc w:val="left"/>
      </w:pPr>
      <w:r>
        <w:rPr/>
        <w:t xml:space="preserve">(d) The person has either received drug treatment related to any felony conviction or has refused drug treatment related to any felony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2013 c 270 s 2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 granted an extraordinary medical placement when authorized under RCW 9.94A.728(3);</w:t>
      </w:r>
    </w:p>
    <w:p>
      <w:pPr>
        <w:spacing w:before="0" w:after="0" w:line="408" w:lineRule="exact"/>
        <w:ind w:left="0" w:right="0" w:firstLine="576"/>
        <w:jc w:val="left"/>
      </w:pPr>
      <w:r>
        <w:rPr/>
        <w:t xml:space="preserve">(f) The firearm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 granted an extraordinary medical placement when authorized under RCW 9.94A.728(3);</w:t>
      </w:r>
    </w:p>
    <w:p>
      <w:pPr>
        <w:spacing w:before="0" w:after="0" w:line="408" w:lineRule="exact"/>
        <w:ind w:left="0" w:right="0" w:firstLine="576"/>
        <w:jc w:val="left"/>
      </w:pPr>
      <w:r>
        <w:rPr/>
        <w:t xml:space="preserve">(f) The deadly weapon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 All enhancements under this subsection shall be mandatory, shall be served in total confinement, and shall run consecutively to all other sentencing provisions.</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 granted an extraordinary medical placement when authorized under RCW 9.94A.728(3);</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0" w:after="0" w:line="408" w:lineRule="exact"/>
        <w:ind w:left="0" w:right="0" w:firstLine="576"/>
        <w:jc w:val="left"/>
      </w:pPr>
      <w:r>
        <w:rPr>
          <w:u w:val="single"/>
        </w:rPr>
        <w:t xml:space="preserve">(15)(a) The following additional times shall be added to the standard sentence range if the court finds that the offender is a habitual property offender pursuant to section 2 of this act:</w:t>
      </w:r>
    </w:p>
    <w:p>
      <w:pPr>
        <w:spacing w:before="0" w:after="0" w:line="408" w:lineRule="exact"/>
        <w:ind w:left="0" w:right="0" w:firstLine="576"/>
        <w:jc w:val="left"/>
      </w:pPr>
      <w:r>
        <w:rPr>
          <w:u w:val="single"/>
        </w:rPr>
        <w:t xml:space="preserve">(i) Twenty-four months if the offender is being sentenced for a felony defined as a class B felony;</w:t>
      </w:r>
    </w:p>
    <w:p>
      <w:pPr>
        <w:spacing w:before="0" w:after="0" w:line="408" w:lineRule="exact"/>
        <w:ind w:left="0" w:right="0" w:firstLine="576"/>
        <w:jc w:val="left"/>
      </w:pPr>
      <w:r>
        <w:rPr>
          <w:u w:val="single"/>
        </w:rPr>
        <w:t xml:space="preserve">(ii) Twelve months if the offender is being sentenced for a felony defined as a class C felony.</w:t>
      </w:r>
    </w:p>
    <w:p>
      <w:pPr>
        <w:spacing w:before="0" w:after="0" w:line="408" w:lineRule="exact"/>
        <w:ind w:left="0" w:right="0" w:firstLine="576"/>
        <w:jc w:val="left"/>
      </w:pPr>
      <w:r>
        <w:rPr>
          <w:u w:val="single"/>
        </w:rPr>
        <w:t xml:space="preserve">(b) A sentence imposed pursuant to this subsection is not to exceed the statutory maximum for the crime as established in RCW 9A.20.021.</w:t>
      </w:r>
    </w:p>
    <w:p>
      <w:pPr>
        <w:spacing w:before="0" w:after="0" w:line="408" w:lineRule="exact"/>
        <w:ind w:left="0" w:right="0" w:firstLine="576"/>
        <w:jc w:val="left"/>
      </w:pPr>
      <w:r>
        <w:rPr>
          <w:u w:val="single"/>
        </w:rPr>
        <w:t xml:space="preserve">(c) Notwithstanding any other provision of law, all habitual property offender enhancements imposed under this subsection (15) are mandatory and shall be served in total confinement. However, whether or not the mandatory minimum term has expired, an offender serving a sentence under this subsection may be granted an extraordinary medical placement when authorized under RCW 9.94A.728(3).</w:t>
      </w:r>
    </w:p>
    <w:p/>
    <w:p>
      <w:pPr>
        <w:jc w:val="center"/>
      </w:pPr>
      <w:r>
        <w:rPr>
          <w:b/>
        </w:rPr>
        <w:t>--- END ---</w:t>
      </w:r>
    </w:p>
    <w:sectPr>
      <w:pgNumType w:start="1"/>
      <w:footerReference xmlns:r="http://schemas.openxmlformats.org/officeDocument/2006/relationships" r:id="R92fb4e23dddb453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43f43286e34e09" /><Relationship Type="http://schemas.openxmlformats.org/officeDocument/2006/relationships/footer" Target="/word/footer.xml" Id="R92fb4e23dddb453c" /></Relationships>
</file>