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88af84e0414e4f" /></Relationships>
</file>

<file path=word/document.xml><?xml version="1.0" encoding="utf-8"?>
<w:document xmlns:w="http://schemas.openxmlformats.org/wordprocessingml/2006/main">
  <w:body>
    <w:p>
      <w:r>
        <w:t>Z-0126.1</w:t>
      </w:r>
    </w:p>
    <w:p>
      <w:pPr>
        <w:jc w:val="center"/>
      </w:pPr>
      <w:r>
        <w:t>_______________________________________________</w:t>
      </w:r>
    </w:p>
    <w:p/>
    <w:p>
      <w:pPr>
        <w:jc w:val="center"/>
      </w:pPr>
      <w:r>
        <w:rPr>
          <w:b/>
        </w:rPr>
        <w:t>SENATE BILL 5479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Pearson, Chase, and Hasegawa; by request of Department of Enterprise Services</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debarment authority of the director of enterprise services; and amending RCW 39.26.200.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2013 2nd sp.s. c 34 s 1 are each amended to read as follows:</w:t>
      </w:r>
    </w:p>
    <w:p>
      <w:pPr>
        <w:spacing w:before="0" w:after="0" w:line="408" w:lineRule="exact"/>
        <w:ind w:left="0" w:right="0" w:firstLine="576"/>
        <w:jc w:val="left"/>
      </w:pPr>
      <w:r>
        <w:rPr/>
        <w:t xml:space="preserve">(1)(a) The director shall provide notice to the contractor of the director's intent to </w:t>
      </w:r>
      <w:r>
        <w:rPr>
          <w:u w:val="single"/>
        </w:rPr>
        <w:t xml:space="preserve">either</w:t>
      </w:r>
      <w:r>
        <w:rPr/>
        <w:t xml:space="preserve"> debar</w:t>
      </w:r>
      <w:r>
        <w:rPr>
          <w:u w:val="single"/>
        </w:rPr>
        <w:t xml:space="preserve">, fine, or both,</w:t>
      </w:r>
      <w:r>
        <w:rPr/>
        <w:t xml:space="preserve"> with the specific reason for </w:t>
      </w:r>
      <w:r>
        <w:rPr>
          <w:u w:val="single"/>
        </w:rPr>
        <w:t xml:space="preserve">either</w:t>
      </w:r>
      <w:r>
        <w:rPr/>
        <w:t xml:space="preserve"> the debarment</w:t>
      </w:r>
      <w:r>
        <w:rPr>
          <w:u w:val="single"/>
        </w:rPr>
        <w:t xml:space="preserve">, fine, or both</w:t>
      </w:r>
      <w:r>
        <w:rPr/>
        <w:t xml:space="preserve">. The department must establish the debarment </w:t>
      </w:r>
      <w:r>
        <w:t>((</w:t>
      </w:r>
      <w:r>
        <w:rPr>
          <w:strike/>
        </w:rPr>
        <w:t xml:space="preserve">process</w:t>
      </w:r>
      <w:r>
        <w:t>))</w:t>
      </w:r>
      <w:r>
        <w:rPr>
          <w:u w:val="single"/>
        </w:rPr>
        <w:t xml:space="preserve">and fining processes</w:t>
      </w:r>
      <w:r>
        <w:rPr/>
        <w:t xml:space="preserve">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u w:val="single"/>
        </w:rPr>
        <w:t xml:space="preserve">(c) Under the procedures used to debar a contractor established by the department under this section, the director has the authority to impose a fine on a contractor for cause in replacement of, or in addition to, debarment. The amount of the fine may not exceed the cost of the debarment proceedings and the administrative and processing costs incurred by the agency.</w:t>
      </w:r>
    </w:p>
    <w:p>
      <w:pPr>
        <w:spacing w:before="0" w:after="0" w:line="408" w:lineRule="exact"/>
        <w:ind w:left="0" w:right="0" w:firstLine="576"/>
        <w:jc w:val="left"/>
      </w:pPr>
      <w:r>
        <w:rPr/>
        <w:t xml:space="preserve">(2) The director may </w:t>
      </w:r>
      <w:r>
        <w:rPr>
          <w:u w:val="single"/>
        </w:rPr>
        <w:t xml:space="preserve">either</w:t>
      </w:r>
      <w:r>
        <w:rPr/>
        <w:t xml:space="preserve"> debar</w:t>
      </w:r>
      <w:r>
        <w:rPr>
          <w:u w:val="single"/>
        </w:rPr>
        <w:t xml:space="preserve">, fine, or both,</w:t>
      </w:r>
      <w:r>
        <w:rPr/>
        <w:t xml:space="preserve">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federal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and</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
      <w:pPr>
        <w:jc w:val="center"/>
      </w:pPr>
      <w:r>
        <w:rPr>
          <w:b/>
        </w:rPr>
        <w:t>--- END ---</w:t>
      </w:r>
    </w:p>
    <w:sectPr>
      <w:pgNumType w:start="1"/>
      <w:footerReference xmlns:r="http://schemas.openxmlformats.org/officeDocument/2006/relationships" r:id="Rf15b724d303745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3953b2ceff451b" /><Relationship Type="http://schemas.openxmlformats.org/officeDocument/2006/relationships/footer" Target="/word/footer.xml" Id="Rf15b724d30374526" /></Relationships>
</file>