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014e2f43b45ee" /></Relationships>
</file>

<file path=word/document.xml><?xml version="1.0" encoding="utf-8"?>
<w:document xmlns:w="http://schemas.openxmlformats.org/wordprocessingml/2006/main">
  <w:body>
    <w:p>
      <w:r>
        <w:t>S-0924.1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Parlette, McCoy, Hatfield, Hobbs, Honeyford, and Dansel</w:t>
      </w:r>
    </w:p>
    <w:p/>
    <w:p>
      <w:r>
        <w:rPr>
          <w:t xml:space="preserve">Read first time 01/22/15.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tribal timber harvest excise tax agreements; and amending RCW 43.06.480.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06</w:t>
      </w:r>
      <w:r>
        <w:rPr/>
        <w:t xml:space="preserve">.</w:t>
      </w:r>
      <w:r>
        <w:t xml:space="preserve">480</w:t>
      </w:r>
      <w:r>
        <w:rPr/>
        <w:t xml:space="preserve"> and 2007 c 69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governor is authorized to enter into a timber harvest excise tax agreement with the Quinault Nation </w:t>
      </w:r>
      <w:r>
        <w:rPr>
          <w:u w:val="single"/>
        </w:rPr>
        <w:t xml:space="preserve">and the Confederated Tribes of the Colville Reservation</w:t>
      </w:r>
      <w:r>
        <w:rPr/>
        <w:t xml:space="preserve">. Agreements adopted under this section must provide that the tribal timber harvest excise tax rate be one hundred percent of the state timber harvest excise tax.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timber harvest excise tax agreement under this section is subject to RCW 43.06.475.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738cceca834ed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53c03af241db" /><Relationship Type="http://schemas.openxmlformats.org/officeDocument/2006/relationships/footer" Target="/word/footer.xml" Id="R6b738cceca834ed2" /></Relationships>
</file>