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ce9d0774e46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and Liias)</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procurement of water services;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Each municipality may contract for asset management service of its water storage assets in accordance with this section. Each municipality shall publish notice of its requirements to procure asset management service of its water storage assets. Such service may include the inspection, cleaning, maintenance, repair, and testing of its water storage assets. The announcement must concisely state the scope and nature of the equipment and services for which a water storage asset management service contract is required and encourage firms to submit proposals to meet these requirements.</w:t>
      </w:r>
    </w:p>
    <w:p>
      <w:pPr>
        <w:spacing w:before="0" w:after="0" w:line="408" w:lineRule="exact"/>
        <w:ind w:left="0" w:right="0" w:firstLine="576"/>
        <w:jc w:val="left"/>
      </w:pPr>
      <w:r>
        <w:rPr/>
        <w:t xml:space="preserve">(2) The municipality may negotiate a fair and reasonable water storage asset management service contract for equipment and services with the firm that submits the best proposal based on criteria that is established by the municipality.</w:t>
      </w:r>
    </w:p>
    <w:p>
      <w:pPr>
        <w:spacing w:before="0" w:after="0" w:line="408" w:lineRule="exact"/>
        <w:ind w:left="0" w:right="0" w:firstLine="576"/>
        <w:jc w:val="left"/>
      </w:pPr>
      <w:r>
        <w:rPr/>
        <w:t xml:space="preserve">(3) If the municipality is unable to negotiate a satisfactory water storage asset management service contract with the firm that submits the best proposal, negotiations with that firm must formally be terminated and the municipality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
      <w:pPr>
        <w:jc w:val="center"/>
      </w:pPr>
      <w:r>
        <w:rPr>
          <w:b/>
        </w:rPr>
        <w:t>--- END ---</w:t>
      </w:r>
    </w:p>
    <w:sectPr>
      <w:pgNumType w:start="1"/>
      <w:footerReference xmlns:r="http://schemas.openxmlformats.org/officeDocument/2006/relationships" r:id="Rb6ccaa88382f4b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ba046a5c434d28" /><Relationship Type="http://schemas.openxmlformats.org/officeDocument/2006/relationships/footer" Target="/word/footer.xml" Id="Rb6ccaa88382f4bb4" /></Relationships>
</file>