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f54d48ae84a87" /></Relationships>
</file>

<file path=word/document.xml><?xml version="1.0" encoding="utf-8"?>
<w:document xmlns:w="http://schemas.openxmlformats.org/wordprocessingml/2006/main">
  <w:body>
    <w:p>
      <w:r>
        <w:t>S-0833.2</w:t>
      </w:r>
    </w:p>
    <w:p>
      <w:pPr>
        <w:jc w:val="center"/>
      </w:pPr>
      <w:r>
        <w:t>_______________________________________________</w:t>
      </w:r>
    </w:p>
    <w:p/>
    <w:p>
      <w:pPr>
        <w:jc w:val="center"/>
      </w:pPr>
      <w:r>
        <w:rPr>
          <w:b/>
        </w:rPr>
        <w:t>SENATE BILL 5461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Kohl-Welles, Pedersen, Chase, Keiser, Hasegawa, and Darneille</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marijuana convictions;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w:t>
      </w:r>
      <w:r>
        <w:rPr>
          <w:u w:val="single"/>
        </w:rPr>
        <w:t xml:space="preserve">Every person convicted of a misdemeanor marijuana offense committed prior to November 7, 2012, under RCW 69.50.4014 may apply to the sentencing court for a vacation of the applicant's record of conviction for the offense. If the court finds the applicant meets the tests prescribed in subsection (2) of this section, the court shall vacate the record of conviction by:</w:t>
      </w:r>
    </w:p>
    <w:p>
      <w:pPr>
        <w:spacing w:before="0" w:after="0" w:line="408" w:lineRule="exact"/>
        <w:ind w:left="0" w:right="0" w:firstLine="576"/>
        <w:jc w:val="left"/>
      </w:pPr>
      <w:r>
        <w:rPr>
          <w:u w:val="single"/>
        </w:rPr>
        <w:t xml:space="preserve">(a)(i) Permitting the applicant to withdraw the applicant's plea of guilty and to enter a plea of not guilty; or (ii) if the applicant was convicted after a plea of not guilty, the court setting aside the verdict of guilty; and</w:t>
      </w:r>
    </w:p>
    <w:p>
      <w:pPr>
        <w:spacing w:before="0" w:after="0" w:line="408" w:lineRule="exact"/>
        <w:ind w:left="0" w:right="0" w:firstLine="576"/>
        <w:jc w:val="left"/>
      </w:pPr>
      <w:r>
        <w:rPr>
          <w:u w:val="single"/>
        </w:rPr>
        <w:t xml:space="preserve">(b) Dismissing the information, indictment, complaint, or citation against the applicant and vacating the judgment and sentence.</w:t>
      </w:r>
    </w:p>
    <w:p>
      <w:pPr>
        <w:spacing w:before="0" w:after="0" w:line="408" w:lineRule="exact"/>
        <w:ind w:left="0" w:right="0" w:firstLine="576"/>
        <w:jc w:val="left"/>
      </w:pPr>
      <w:r>
        <w:rPr>
          <w:u w:val="single"/>
        </w:rPr>
        <w:t xml:space="preserve">(2) An applicant may not have the record of conviction for a misdemeanor marijuana offense vacated if any one of the following is present:</w:t>
      </w:r>
    </w:p>
    <w:p>
      <w:pPr>
        <w:spacing w:before="0" w:after="0" w:line="408" w:lineRule="exact"/>
        <w:ind w:left="0" w:right="0" w:firstLine="576"/>
        <w:jc w:val="left"/>
      </w:pPr>
      <w:r>
        <w:rPr>
          <w:u w:val="single"/>
        </w:rPr>
        <w:t xml:space="preserve">(a) There are any criminal charges against the applicant pending in any court of this state or another state, or in any federal court; or</w:t>
      </w:r>
    </w:p>
    <w:p>
      <w:pPr>
        <w:spacing w:before="0" w:after="0" w:line="408" w:lineRule="exact"/>
        <w:ind w:left="0" w:right="0" w:firstLine="576"/>
        <w:jc w:val="left"/>
      </w:pPr>
      <w:r>
        <w:rPr>
          <w:u w:val="single"/>
        </w:rPr>
        <w:t xml:space="preserve">(b) The applicant has a criminal history that includes any one of the following:</w:t>
      </w:r>
    </w:p>
    <w:p>
      <w:pPr>
        <w:spacing w:before="0" w:after="0" w:line="408" w:lineRule="exact"/>
        <w:ind w:left="0" w:right="0" w:firstLine="576"/>
        <w:jc w:val="left"/>
      </w:pPr>
      <w:r>
        <w:rPr>
          <w:u w:val="single"/>
        </w:rPr>
        <w:t xml:space="preserve">(i) A violent offense as defined in RCW 9.94A.030 or an attempt to commit a violent offense;</w:t>
      </w:r>
    </w:p>
    <w:p>
      <w:pPr>
        <w:spacing w:before="0" w:after="0" w:line="408" w:lineRule="exact"/>
        <w:ind w:left="0" w:right="0" w:firstLine="576"/>
        <w:jc w:val="left"/>
      </w:pPr>
      <w:r>
        <w:rPr>
          <w:u w:val="single"/>
        </w:rPr>
        <w:t xml:space="preserve">(ii) A violation of RCW 46.61.502 (driving while under the influence), 46.61.504 (actual physical control while under the influence), 9.91.020 (operating a railroad, etc. while intoxicated), or the prior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u w:val="single"/>
        </w:rPr>
        <w:t xml:space="preserve">(iii) Any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u w:val="single"/>
        </w:rPr>
        <w:t xml:space="preserve">(3) Except as provided in subsections (1) and (2) of this section, e</w:t>
      </w:r>
      <w:r>
        <w:rPr/>
        <w:t xml:space="preserv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w:t>
      </w:r>
      <w:r>
        <w:t>((</w:t>
      </w:r>
      <w:r>
        <w:rPr>
          <w:strike/>
        </w:rPr>
        <w:t xml:space="preserve">(2)</w:t>
      </w:r>
      <w:r>
        <w:t>))</w:t>
      </w:r>
      <w:r>
        <w:rPr>
          <w:u w:val="single"/>
        </w:rPr>
        <w:t xml:space="preserve">(4)</w:t>
      </w:r>
      <w:r>
        <w:rPr/>
        <w:t xml:space="preserve">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t>((</w:t>
      </w:r>
      <w:r>
        <w:rPr>
          <w:strike/>
        </w:rPr>
        <w:t xml:space="preserve">(2)</w:t>
      </w:r>
      <w:r>
        <w:t>))</w:t>
      </w:r>
      <w:r>
        <w:rPr>
          <w:u w:val="single"/>
        </w:rPr>
        <w:t xml:space="preserve">(4) Pursuant to subsection (3) of this section, a</w:t>
      </w:r>
      <w:r>
        <w:rPr/>
        <w:t xml:space="preserve">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t>((</w:t>
      </w:r>
      <w:r>
        <w:rPr>
          <w:strike/>
        </w:rPr>
        <w:t xml:space="preserve">(3)</w:t>
      </w:r>
      <w:r>
        <w:t>))</w:t>
      </w:r>
      <w:r>
        <w:rPr>
          <w:u w:val="single"/>
        </w:rPr>
        <w:t xml:space="preserve">(5)</w:t>
      </w:r>
      <w:r>
        <w:rPr/>
        <w:t xml:space="preserve">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t>((</w:t>
      </w:r>
      <w:r>
        <w:rPr>
          <w:strike/>
        </w:rPr>
        <w:t xml:space="preserve">(4)</w:t>
      </w:r>
      <w:r>
        <w:t>))</w:t>
      </w:r>
      <w:r>
        <w:rPr>
          <w:u w:val="single"/>
        </w:rPr>
        <w:t xml:space="preserve">(6)</w:t>
      </w:r>
      <w:r>
        <w:rPr/>
        <w:t xml:space="preserve">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t>((</w:t>
      </w:r>
      <w:r>
        <w:rPr>
          <w:strike/>
        </w:rPr>
        <w:t xml:space="preserve">(5)</w:t>
      </w:r>
      <w:r>
        <w:t>))</w:t>
      </w:r>
      <w:r>
        <w:rPr>
          <w:u w:val="single"/>
        </w:rPr>
        <w:t xml:space="preserve">(7)</w:t>
      </w:r>
      <w:r>
        <w:rPr/>
        <w:t xml:space="preserve"> Once the court vacates a record of conviction under </w:t>
      </w:r>
      <w:r>
        <w:rPr>
          <w:u w:val="single"/>
        </w:rPr>
        <w:t xml:space="preserve">subsections (1) and (3) of</w:t>
      </w:r>
      <w:r>
        <w:rPr/>
        <w:t xml:space="preserve">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w:t>
      </w:r>
      <w:r>
        <w:rPr>
          <w:u w:val="single"/>
        </w:rPr>
        <w:t xml:space="preserve">subsections (1) and (3) of</w:t>
      </w:r>
      <w:r>
        <w:rPr/>
        <w:t xml:space="preserve">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t>((</w:t>
      </w:r>
      <w:r>
        <w:rPr>
          <w:strike/>
        </w:rPr>
        <w:t xml:space="preserve">(6)</w:t>
      </w:r>
      <w:r>
        <w:t>))</w:t>
      </w:r>
      <w:r>
        <w:rPr>
          <w:u w:val="single"/>
        </w:rPr>
        <w:t xml:space="preserve">(8)</w:t>
      </w:r>
      <w:r>
        <w:rPr/>
        <w:t xml:space="preserve">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t>((</w:t>
      </w:r>
      <w:r>
        <w:rPr>
          <w:strike/>
        </w:rPr>
        <w:t xml:space="preserve">(7)</w:t>
      </w:r>
      <w:r>
        <w:t>))</w:t>
      </w:r>
      <w:r>
        <w:rPr>
          <w:u w:val="single"/>
        </w:rPr>
        <w:t xml:space="preserve">(9)</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
      <w:pPr>
        <w:jc w:val="center"/>
      </w:pPr>
      <w:r>
        <w:rPr>
          <w:b/>
        </w:rPr>
        <w:t>--- END ---</w:t>
      </w:r>
    </w:p>
    <w:sectPr>
      <w:pgNumType w:start="1"/>
      <w:footerReference xmlns:r="http://schemas.openxmlformats.org/officeDocument/2006/relationships" r:id="R4a853a24186642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c03d5f29b4833" /><Relationship Type="http://schemas.openxmlformats.org/officeDocument/2006/relationships/footer" Target="/word/footer.xml" Id="R4a853a24186642b8" /></Relationships>
</file>