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79f131374c80" /></Relationships>
</file>

<file path=word/document.xml><?xml version="1.0" encoding="utf-8"?>
<w:document xmlns:w="http://schemas.openxmlformats.org/wordprocessingml/2006/main">
  <w:body>
    <w:p>
      <w:r>
        <w:t>S-0916.1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Becker, Frockt, Dammeier, Jayapal, Bailey, Keiser, Parlette, Conway, Cleveland, and Chase</w:t>
      </w:r>
    </w:p>
    <w:p/>
    <w:p>
      <w:r>
        <w:rPr>
          <w:t xml:space="preserve">Read first time 01/22/15.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reporting of infections consequent to laser in-situ keratomileusis surgery; and adding a new section to chapter 43.70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physician or osteopathic physician who performs laser in-situ keratomileusis surgery must report any patient infection caused or likely to have been caused as a consequence to the laser in-situ keratomileusis procedure to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must publish a report on the department's web site that compares the infection rates of physicians or osteopathic physicians who perform laser in-situ keratomileusis surgery. The report must disclose data in a format that does not release health information about any individual patient.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may adopt rules to implement this section. 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e70a42ae3e4469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19a5047b946e6" /><Relationship Type="http://schemas.openxmlformats.org/officeDocument/2006/relationships/footer" Target="/word/footer.xml" Id="Rae70a42ae3e44694" /></Relationships>
</file>