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8587917324d38" /></Relationships>
</file>

<file path=word/document.xml><?xml version="1.0" encoding="utf-8"?>
<w:document xmlns:w="http://schemas.openxmlformats.org/wordprocessingml/2006/main">
  <w:body>
    <w:p>
      <w:r>
        <w:t>S-1615.3</w:t>
      </w:r>
    </w:p>
    <w:p>
      <w:pPr>
        <w:jc w:val="center"/>
      </w:pPr>
      <w:r>
        <w:t>_______________________________________________</w:t>
      </w:r>
    </w:p>
    <w:p/>
    <w:p>
      <w:pPr>
        <w:jc w:val="center"/>
      </w:pPr>
      <w:r>
        <w:rPr>
          <w:b/>
        </w:rPr>
        <w:t>SUBSTITUTE SENATE BILL 5437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Litzow, McAuliffe, Fain, Billig, Rivers, Hill, Rolfes, Hasegawa, Jayapal, Habib, Kohl-Welles, Chase, Pedersen, and Conway)</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adding new sections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2016-17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up to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(3)(a)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breakfast, the period of time designated for student participation in breakfast after the bell shall be provided during instructional hours under RCW 28A.150.205.</w:t>
      </w:r>
    </w:p>
    <w:p>
      <w:pPr>
        <w:spacing w:before="0" w:after="0" w:line="408" w:lineRule="exact"/>
        <w:ind w:left="0" w:right="0" w:firstLine="576"/>
        <w:jc w:val="left"/>
      </w:pPr>
      <w:r>
        <w:rPr/>
        <w:t xml:space="preserve">(4) Any rules adopted by the state board of education must permit student participation in breakfast after the bell during instructional hours.</w:t>
      </w:r>
    </w:p>
    <w:p>
      <w:pPr>
        <w:spacing w:before="0" w:after="0" w:line="408" w:lineRule="exact"/>
        <w:ind w:left="0" w:right="0" w:firstLine="576"/>
        <w:jc w:val="left"/>
      </w:pPr>
      <w:r>
        <w:rPr/>
        <w:t xml:space="preserve">(5)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(6)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2016,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  </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eba948d4847a4f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8cb61063f54260" /><Relationship Type="http://schemas.openxmlformats.org/officeDocument/2006/relationships/footer" Target="/word/footer.xml" Id="Reba948d4847a4f76" /></Relationships>
</file>