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e74e0b24874205" /></Relationships>
</file>

<file path=word/document.xml><?xml version="1.0" encoding="utf-8"?>
<w:document xmlns:w="http://schemas.openxmlformats.org/wordprocessingml/2006/main">
  <w:body>
    <w:p>
      <w:r>
        <w:t>S-0788.1</w:t>
      </w:r>
    </w:p>
    <w:p>
      <w:pPr>
        <w:jc w:val="center"/>
      </w:pPr>
      <w:r>
        <w:t>_______________________________________________</w:t>
      </w:r>
    </w:p>
    <w:p/>
    <w:p>
      <w:pPr>
        <w:jc w:val="center"/>
      </w:pPr>
      <w:r>
        <w:rPr>
          <w:b/>
        </w:rPr>
        <w:t>SENATE BILL 5430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Brown, and Hewitt</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energy independence act;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w:t>
      </w:r>
    </w:p>
    <w:p>
      <w:pPr>
        <w:spacing w:before="0" w:after="0" w:line="408" w:lineRule="exact"/>
        <w:ind w:left="0" w:right="0" w:firstLine="576"/>
        <w:jc w:val="left"/>
      </w:pPr>
      <w:r>
        <w:rPr>
          <w:u w:val="single"/>
        </w:rPr>
        <w:t xml:space="preserve">(f) Any conservation that is not cost-effective as defined by subsection (7) of this section;</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w:t>
      </w:r>
      <w:r>
        <w:rPr>
          <w:u w:val="single"/>
        </w:rPr>
        <w:t xml:space="preserve">"Long on resources" means a qualifying utility's electricity:</w:t>
      </w:r>
    </w:p>
    <w:p>
      <w:pPr>
        <w:spacing w:before="0" w:after="0" w:line="408" w:lineRule="exact"/>
        <w:ind w:left="0" w:right="0" w:firstLine="576"/>
        <w:jc w:val="left"/>
      </w:pPr>
      <w:r>
        <w:rPr>
          <w:u w:val="single"/>
        </w:rPr>
        <w:t xml:space="preserve">(a) From: (i) Resources owned or under contract by January 1, 2010; (ii) eligible renewable resources acquired after that date; and (iii) noneligible resources acquired after that date that are offset by equivalent renewable energy credits;</w:t>
      </w:r>
    </w:p>
    <w:p>
      <w:pPr>
        <w:spacing w:before="0" w:after="0" w:line="408" w:lineRule="exact"/>
        <w:ind w:left="0" w:right="0" w:firstLine="576"/>
        <w:jc w:val="left"/>
      </w:pPr>
      <w:r>
        <w:rPr>
          <w:u w:val="single"/>
        </w:rPr>
        <w:t xml:space="preserve">(b) That is available to serve the utility's load during a target year under RCW 19.285.040(2)(a) and meets or exceeds the utility's load for the target year.</w:t>
      </w:r>
    </w:p>
    <w:p>
      <w:pPr>
        <w:spacing w:before="0" w:after="0" w:line="408" w:lineRule="exact"/>
        <w:ind w:left="0" w:right="0" w:firstLine="576"/>
        <w:jc w:val="left"/>
      </w:pPr>
      <w:r>
        <w:rPr>
          <w:u w:val="single"/>
        </w:rPr>
        <w:t xml:space="preserve">(16)</w:t>
      </w:r>
      <w:r>
        <w:rPr/>
        <w:t xml:space="preserve">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t>((</w:t>
      </w:r>
      <w:r>
        <w:rPr>
          <w:strike/>
        </w:rPr>
        <w:t xml:space="preserve">(16)</w:t>
      </w:r>
      <w:r>
        <w:t>))</w:t>
      </w:r>
      <w:r>
        <w:rPr>
          <w:u w:val="single"/>
        </w:rPr>
        <w:t xml:space="preserve">(17)</w:t>
      </w:r>
      <w:r>
        <w:rPr/>
        <w:t xml:space="preserve">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t>((</w:t>
      </w:r>
      <w:r>
        <w:rPr>
          <w:strike/>
        </w:rPr>
        <w:t xml:space="preserve">(17)</w:t>
      </w:r>
      <w:r>
        <w:t>))</w:t>
      </w:r>
      <w:r>
        <w:rPr>
          <w:u w:val="single"/>
        </w:rPr>
        <w:t xml:space="preserve">(18)</w:t>
      </w:r>
      <w:r>
        <w:rPr/>
        <w:t xml:space="preserve"> "Public facility" has the same meaning as defined in RCW 39.35C.010.</w:t>
      </w:r>
    </w:p>
    <w:p>
      <w:pPr>
        <w:spacing w:before="0" w:after="0" w:line="408" w:lineRule="exact"/>
        <w:ind w:left="0" w:right="0" w:firstLine="576"/>
        <w:jc w:val="left"/>
      </w:pPr>
      <w:r>
        <w:t>((</w:t>
      </w:r>
      <w:r>
        <w:rPr>
          <w:strike/>
        </w:rPr>
        <w:t xml:space="preserve">(18)</w:t>
      </w:r>
      <w:r>
        <w:t>))</w:t>
      </w:r>
      <w:r>
        <w:rPr>
          <w:u w:val="single"/>
        </w:rPr>
        <w:t xml:space="preserve">(19)</w:t>
      </w:r>
      <w:r>
        <w:rPr/>
        <w:t xml:space="preserve">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t>((</w:t>
      </w:r>
      <w:r>
        <w:rPr>
          <w:strike/>
        </w:rPr>
        <w:t xml:space="preserve">(19)</w:t>
      </w:r>
      <w:r>
        <w:t>))</w:t>
      </w:r>
      <w:r>
        <w:rPr>
          <w:u w:val="single"/>
        </w:rPr>
        <w:t xml:space="preserve">(20)</w:t>
      </w:r>
      <w:r>
        <w:rPr/>
        <w:t xml:space="preserve">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t>((</w:t>
      </w:r>
      <w:r>
        <w:rPr>
          <w:strike/>
        </w:rPr>
        <w:t xml:space="preserve">(20)</w:t>
      </w:r>
      <w:r>
        <w:t>))</w:t>
      </w:r>
      <w:r>
        <w:rPr>
          <w:u w:val="single"/>
        </w:rPr>
        <w:t xml:space="preserve">(21)</w:t>
      </w:r>
      <w:r>
        <w:rPr/>
        <w:t xml:space="preserve"> "Renewable energy credit" means a tradable certificate of proof</w:t>
      </w:r>
      <w:r>
        <w:rPr>
          <w:u w:val="single"/>
        </w:rPr>
        <w:t xml:space="preserve">, except as provided in RCW 19.285.040(2)(n),</w:t>
      </w:r>
      <w:r>
        <w:rPr/>
        <w:t xml:space="preserve">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t>((</w:t>
      </w:r>
      <w:r>
        <w:rPr>
          <w:strike/>
        </w:rPr>
        <w:t xml:space="preserve">(21)</w:t>
      </w:r>
      <w:r>
        <w:t>))</w:t>
      </w:r>
      <w:r>
        <w:rPr>
          <w:u w:val="single"/>
        </w:rPr>
        <w:t xml:space="preserve">(22)</w:t>
      </w:r>
      <w:r>
        <w:rPr/>
        <w:t xml:space="preserve">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t>((</w:t>
      </w:r>
      <w:r>
        <w:rPr>
          <w:strike/>
        </w:rPr>
        <w:t xml:space="preserve">(22)</w:t>
      </w:r>
      <w:r>
        <w:t>))</w:t>
      </w:r>
      <w:r>
        <w:rPr>
          <w:u w:val="single"/>
        </w:rPr>
        <w:t xml:space="preserve">(23)</w:t>
      </w:r>
      <w:r>
        <w:rPr/>
        <w:t xml:space="preserve"> "Rule" means rules adopted by an agency or other entity of Washington state government to carry out the intent and purposes of this chapter.</w:t>
      </w:r>
    </w:p>
    <w:p>
      <w:pPr>
        <w:spacing w:before="0" w:after="0" w:line="408" w:lineRule="exact"/>
        <w:ind w:left="0" w:right="0" w:firstLine="576"/>
        <w:jc w:val="left"/>
      </w:pPr>
      <w:r>
        <w:t>((</w:t>
      </w:r>
      <w:r>
        <w:rPr>
          <w:strike/>
        </w:rPr>
        <w:t xml:space="preserve">(23)</w:t>
      </w:r>
      <w:r>
        <w:t>))</w:t>
      </w:r>
      <w:r>
        <w:rPr>
          <w:u w:val="single"/>
        </w:rPr>
        <w:t xml:space="preserve">(24) "Slow-growing" means a qualifying utility that is not long on resources and acquires eligible renewable resources, equivalent renewable energy credits under subsection (15)(a)(iii) of this section, or any combination of both, to serve the load not otherwise served by existing resources, and the acquisitions are insufficient for the utility to meet its annual target under RCW 19.285.040(2)(a).</w:t>
      </w:r>
    </w:p>
    <w:p>
      <w:pPr>
        <w:spacing w:before="0" w:after="0" w:line="408" w:lineRule="exact"/>
        <w:ind w:left="0" w:right="0" w:firstLine="576"/>
        <w:jc w:val="left"/>
      </w:pPr>
      <w:r>
        <w:rPr>
          <w:u w:val="single"/>
        </w:rPr>
        <w:t xml:space="preserve">(25)</w:t>
      </w:r>
      <w:r>
        <w:rPr/>
        <w:t xml:space="preserve">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u w:val="single"/>
        </w:rPr>
        <w:t xml:space="preserve">(k) and (m)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A qualifying utility is considered in compliance with an annual target in (a) of this subsection if the utility is long on resources or slow-growing.</w:t>
      </w:r>
    </w:p>
    <w:p>
      <w:pPr>
        <w:spacing w:before="0" w:after="0" w:line="408" w:lineRule="exact"/>
        <w:ind w:left="0" w:right="0" w:firstLine="576"/>
        <w:jc w:val="left"/>
      </w:pPr>
      <w:r>
        <w:rPr>
          <w:u w:val="single"/>
        </w:rPr>
        <w:t xml:space="preserve">(f)</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u w:val="single"/>
        </w:rPr>
        <w:t xml:space="preserve">(l)</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(m) Beginning January 1, 2016,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(n) Renewable energy credits allocated under RCW 19.285.030(12)(f)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955e09551db749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d991395eb4134" /><Relationship Type="http://schemas.openxmlformats.org/officeDocument/2006/relationships/footer" Target="/word/footer.xml" Id="R955e09551db749cd" /></Relationships>
</file>