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111ef77c4f4251" /></Relationships>
</file>

<file path=word/document.xml><?xml version="1.0" encoding="utf-8"?>
<w:document xmlns:w="http://schemas.openxmlformats.org/wordprocessingml/2006/main">
  <w:body>
    <w:p>
      <w:r>
        <w:t>S-1247.1</w:t>
      </w:r>
    </w:p>
    <w:p>
      <w:pPr>
        <w:jc w:val="center"/>
      </w:pPr>
      <w:r>
        <w:t>_______________________________________________</w:t>
      </w:r>
    </w:p>
    <w:p/>
    <w:p>
      <w:pPr>
        <w:jc w:val="center"/>
      </w:pPr>
      <w:r>
        <w:rPr>
          <w:b/>
        </w:rPr>
        <w:t>SUBSTITUTE SENATE BILL 5417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Rivers, Mullet, Dansel, Cleveland, Hatfield, and Hill)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marijuana policies; amending RCW 69.50.357, 69.50.369, 69.50.530, 69.50.535, 69.50.540, and 69.50.331;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w:t>
      </w:r>
      <w:r>
        <w:t>((</w:t>
      </w:r>
      <w:r>
        <w:rPr>
          <w:strike/>
        </w:rPr>
        <w:t xml:space="preserve">shall sell no</w:t>
      </w:r>
      <w:r>
        <w:t>))</w:t>
      </w:r>
      <w:r>
        <w:rPr/>
        <w:t xml:space="preserve"> </w:t>
      </w:r>
      <w:r>
        <w:rPr>
          <w:u w:val="single"/>
        </w:rPr>
        <w:t xml:space="preserve">may not sell</w:t>
      </w:r>
      <w:r>
        <w:rPr/>
        <w:t xml:space="preserve">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w:t>
      </w:r>
      <w:r>
        <w:t>((</w:t>
      </w:r>
      <w:r>
        <w:rPr>
          <w:strike/>
        </w:rPr>
        <w:t xml:space="preserve">shall</w:t>
      </w:r>
      <w:r>
        <w:t>))</w:t>
      </w:r>
      <w:r>
        <w:rPr/>
        <w:t xml:space="preserve"> </w:t>
      </w:r>
      <w:r>
        <w:rPr>
          <w:u w:val="single"/>
        </w:rPr>
        <w:t xml:space="preserve">may</w:t>
      </w:r>
      <w:r>
        <w:rPr/>
        <w:t xml:space="preserve"> not employ persons under twenty-one years of age or allow persons under twenty-one years of age to enter or remain on the premises of a retail outlet.</w:t>
      </w:r>
    </w:p>
    <w:p>
      <w:pPr>
        <w:spacing w:before="0" w:after="0" w:line="408" w:lineRule="exact"/>
        <w:ind w:left="0" w:right="0" w:firstLine="576"/>
        <w:jc w:val="left"/>
      </w:pPr>
      <w:r>
        <w:rPr/>
        <w:t xml:space="preserve">(3) Licensed marijuana retailers </w:t>
      </w:r>
      <w:r>
        <w:t>((</w:t>
      </w:r>
      <w:r>
        <w:rPr>
          <w:strike/>
        </w:rPr>
        <w:t xml:space="preserve">shall</w:t>
      </w:r>
      <w:r>
        <w:t>))</w:t>
      </w:r>
      <w:r>
        <w:rPr/>
        <w:t xml:space="preserve"> </w:t>
      </w:r>
      <w:r>
        <w:rPr>
          <w:u w:val="single"/>
        </w:rPr>
        <w:t xml:space="preserve">may</w:t>
      </w:r>
      <w:r>
        <w:rPr/>
        <w:t xml:space="preserve">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spacing w:before="0" w:after="0" w:line="408" w:lineRule="exact"/>
        <w:ind w:left="0" w:right="0" w:firstLine="576"/>
        <w:jc w:val="left"/>
      </w:pPr>
      <w:r>
        <w:rPr/>
        <w:t xml:space="preserve">(4) Licensed marijuana retailers </w:t>
      </w:r>
      <w:r>
        <w:t>((</w:t>
      </w:r>
      <w:r>
        <w:rPr>
          <w:strike/>
        </w:rPr>
        <w:t xml:space="preserve">shall</w:t>
      </w:r>
      <w:r>
        <w:t>))</w:t>
      </w:r>
      <w:r>
        <w:rPr/>
        <w:t xml:space="preserve"> </w:t>
      </w:r>
      <w:r>
        <w:rPr>
          <w:u w:val="single"/>
        </w:rPr>
        <w:t xml:space="preserve">may</w:t>
      </w:r>
      <w:r>
        <w:rPr/>
        <w:t xml:space="preserve"> not display useable marijuana or marijuana-infused products in a manner that is visible to the general public from a public right-of-way.</w:t>
      </w:r>
    </w:p>
    <w:p>
      <w:pPr>
        <w:spacing w:before="0" w:after="0" w:line="408" w:lineRule="exact"/>
        <w:ind w:left="0" w:right="0" w:firstLine="576"/>
        <w:jc w:val="left"/>
      </w:pPr>
      <w:r>
        <w:rPr/>
        <w:t xml:space="preserve">(5) </w:t>
      </w:r>
      <w:r>
        <w:t>((</w:t>
      </w:r>
      <w:r>
        <w:rPr>
          <w:strike/>
        </w:rPr>
        <w:t xml:space="preserve">No</w:t>
      </w:r>
      <w:r>
        <w:t>))</w:t>
      </w:r>
      <w:r>
        <w:rPr/>
        <w:t xml:space="preserve"> </w:t>
      </w:r>
      <w:r>
        <w:rPr>
          <w:u w:val="single"/>
        </w:rPr>
        <w:t xml:space="preserve">A</w:t>
      </w:r>
      <w:r>
        <w:rPr/>
        <w:t xml:space="preserve"> licensed marijuana retailer or employee of a retail outlet </w:t>
      </w:r>
      <w:r>
        <w:t>((</w:t>
      </w:r>
      <w:r>
        <w:rPr>
          <w:strike/>
        </w:rPr>
        <w:t xml:space="preserve">shall</w:t>
      </w:r>
      <w:r>
        <w:t>))</w:t>
      </w:r>
      <w:r>
        <w:rPr/>
        <w:t xml:space="preserve"> </w:t>
      </w:r>
      <w:r>
        <w:rPr>
          <w:u w:val="single"/>
        </w:rPr>
        <w:t xml:space="preserve">may not</w:t>
      </w:r>
      <w:r>
        <w:rPr/>
        <w:t xml:space="preserve">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control board </w:t>
      </w:r>
      <w:r>
        <w:t>((</w:t>
      </w:r>
      <w:r>
        <w:rPr>
          <w:strike/>
        </w:rPr>
        <w:t xml:space="preserve">shall</w:t>
      </w:r>
      <w:r>
        <w:t>))</w:t>
      </w:r>
      <w:r>
        <w:rPr/>
        <w:t xml:space="preserve"> </w:t>
      </w:r>
      <w:r>
        <w:rPr>
          <w:u w:val="single"/>
        </w:rPr>
        <w:t xml:space="preserve">must</w:t>
      </w:r>
      <w:r>
        <w:rPr/>
        <w:t xml:space="preserve"> fine a licensee one thousand dollars for each violation of any subsection of this section. Fines collected under this 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w:t>
      </w:r>
      <w:r>
        <w:t>((</w:t>
      </w:r>
      <w:r>
        <w:rPr>
          <w:strike/>
        </w:rPr>
        <w:t xml:space="preserve">No</w:t>
      </w:r>
      <w:r>
        <w:t>))</w:t>
      </w:r>
      <w:r>
        <w:rPr/>
        <w:t xml:space="preserve"> </w:t>
      </w:r>
      <w:r>
        <w:rPr>
          <w:u w:val="single"/>
        </w:rPr>
        <w:t xml:space="preserve">A</w:t>
      </w:r>
      <w:r>
        <w:rPr/>
        <w:t xml:space="preserve"> licensed marijuana producer, processor, or retailer </w:t>
      </w:r>
      <w:r>
        <w:t>((</w:t>
      </w:r>
      <w:r>
        <w:rPr>
          <w:strike/>
        </w:rPr>
        <w:t xml:space="preserve">shall</w:t>
      </w:r>
      <w:r>
        <w:t>))</w:t>
      </w:r>
      <w:r>
        <w:rPr/>
        <w:t xml:space="preserve"> </w:t>
      </w:r>
      <w:r>
        <w:rPr>
          <w:u w:val="single"/>
        </w:rPr>
        <w:t xml:space="preserve">may not</w:t>
      </w:r>
      <w:r>
        <w:rPr/>
        <w:t xml:space="preserve"> place or maintain, or cause to be placed or maintained, an advertisement of marijuana, useable marijuana,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control board </w:t>
      </w:r>
      <w:r>
        <w:t>((</w:t>
      </w:r>
      <w:r>
        <w:rPr>
          <w:strike/>
        </w:rPr>
        <w:t xml:space="preserve">shall</w:t>
      </w:r>
      <w:r>
        <w:t>))</w:t>
      </w:r>
      <w:r>
        <w:rPr/>
        <w:t xml:space="preserve"> </w:t>
      </w:r>
      <w:r>
        <w:rPr>
          <w:u w:val="single"/>
        </w:rPr>
        <w:t xml:space="preserve">must</w:t>
      </w:r>
      <w:r>
        <w:rPr/>
        <w:t xml:space="preserve"> fine a licensee one thousand dollars for each violation of subsection (1) of this section. Fines collected under this subsection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spacing w:before="0" w:after="0" w:line="408" w:lineRule="exact"/>
        <w:ind w:left="0" w:right="0" w:firstLine="576"/>
        <w:jc w:val="left"/>
      </w:pPr>
      <w:r>
        <w:t>((</w:t>
      </w:r>
      <w:r>
        <w:rPr>
          <w:strike/>
        </w:rPr>
        <w:t xml:space="preserve">(1) There shall be a fund, known as the dedicated marijuana fund, which shall consist of all marijuana excise taxes, license fees, penalties, forfeitures, and all other moneys, income, or revenue received by the state liquor control board from marijuana-related activities. The state treasurer shall be custodian of the fund.</w:t>
      </w:r>
    </w:p>
    <w:p>
      <w:pPr>
        <w:spacing w:before="0" w:after="0" w:line="408" w:lineRule="exact"/>
        <w:ind w:left="0" w:right="0" w:firstLine="576"/>
        <w:jc w:val="left"/>
      </w:pPr>
      <w:r>
        <w:rPr>
          <w:strike/>
        </w:rPr>
        <w:t xml:space="preserve">(2)</w:t>
      </w:r>
      <w:r>
        <w:t>))</w:t>
      </w:r>
      <w:r>
        <w:rPr/>
        <w:t xml:space="preserve"> </w:t>
      </w:r>
      <w:r>
        <w:rPr>
          <w:u w:val="single"/>
        </w:rPr>
        <w:t xml:space="preserve">The dedicated marijuana account is created in the state treasury.</w:t>
      </w:r>
      <w:r>
        <w:rPr/>
        <w:t xml:space="preserve"> All moneys received by the state liquor control board</w:t>
      </w:r>
      <w:r>
        <w:rPr>
          <w:u w:val="single"/>
        </w:rPr>
        <w:t xml:space="preserve">,</w:t>
      </w:r>
      <w:r>
        <w:rPr/>
        <w:t xml:space="preserve"> or any employee thereof</w:t>
      </w:r>
      <w:r>
        <w:rPr>
          <w:u w:val="single"/>
        </w:rPr>
        <w:t xml:space="preserve">,</w:t>
      </w:r>
      <w:r>
        <w:rPr/>
        <w:t xml:space="preserve"> from marijuana-related activities </w:t>
      </w:r>
      <w:r>
        <w:t>((</w:t>
      </w:r>
      <w:r>
        <w:rPr>
          <w:strike/>
        </w:rPr>
        <w:t xml:space="preserve">shall</w:t>
      </w:r>
      <w:r>
        <w:t>))</w:t>
      </w:r>
      <w:r>
        <w:rPr/>
        <w:t xml:space="preserve"> </w:t>
      </w:r>
      <w:r>
        <w:rPr>
          <w:u w:val="single"/>
        </w:rPr>
        <w:t xml:space="preserve">must</w:t>
      </w:r>
      <w:r>
        <w:rPr/>
        <w:t xml:space="preserve"> be deposited </w:t>
      </w:r>
      <w:r>
        <w:t>((</w:t>
      </w:r>
      <w:r>
        <w:rPr>
          <w:strike/>
        </w:rPr>
        <w:t xml:space="preserve">each day in a depository approved by the state treasurer and transferred to the state treasurer to be credited to the dedicated marijuana fund.</w:t>
      </w:r>
    </w:p>
    <w:p>
      <w:pPr>
        <w:spacing w:before="0" w:after="0" w:line="408" w:lineRule="exact"/>
        <w:ind w:left="0" w:right="0" w:firstLine="576"/>
        <w:jc w:val="left"/>
      </w:pPr>
      <w:r>
        <w:rPr>
          <w:strike/>
        </w:rPr>
        <w:t xml:space="preserve">(3) Disbursements from the dedicated marijuana fund shall be on authorization of the state liquor control board or a duly authorized representative thereof</w:t>
      </w:r>
      <w:r>
        <w:t>))</w:t>
      </w:r>
      <w:r>
        <w:rPr/>
        <w:t xml:space="preserve"> </w:t>
      </w:r>
      <w:r>
        <w:rPr>
          <w:u w:val="single"/>
        </w:rPr>
        <w:t xml:space="preserve">in the account. 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must be deposited in the account. Moneys in the account may only be spent after appropriation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t xml:space="preserve">(3) There is levied and collected a marijuana excise tax equal to twenty-five percent of the selling price on each retail sale in this state of marijuana concentrates, useable marijuana, and marijuana-infused products. This tax is the obligation of the licensed marijuana retailer, is separate and in addition to general state and local sales and use taxes that apply to retail sales of tangible personal property, and is part of the total retail price to which general state and local sales and use taxes apply.</w:t>
      </w:r>
    </w:p>
    <w:p>
      <w:pPr>
        <w:spacing w:before="0" w:after="0" w:line="408" w:lineRule="exact"/>
        <w:ind w:left="0" w:right="0" w:firstLine="576"/>
        <w:jc w:val="left"/>
      </w:pPr>
      <w:r>
        <w:rPr/>
        <w:t xml:space="preserve">(4) All revenues collected from the marijuana excise taxes imposed under subsections (1) through (3) of this section </w:t>
      </w:r>
      <w:r>
        <w:t>((</w:t>
      </w:r>
      <w:r>
        <w:rPr>
          <w:strike/>
        </w:rPr>
        <w:t xml:space="preserve">shall</w:t>
      </w:r>
      <w:r>
        <w:t>))</w:t>
      </w:r>
      <w:r>
        <w:rPr/>
        <w:t xml:space="preserve"> </w:t>
      </w:r>
      <w:r>
        <w:rPr>
          <w:u w:val="single"/>
        </w:rPr>
        <w:t xml:space="preserve">must</w:t>
      </w:r>
      <w:r>
        <w:rPr/>
        <w:t xml:space="preserve"> be deposited each day in a depository approved by the state treasurer and transferred to the state treasurer to be credited to the dedicated marijuana </w:t>
      </w:r>
      <w:r>
        <w:t>((</w:t>
      </w:r>
      <w:r>
        <w:rPr>
          <w:strike/>
        </w:rPr>
        <w:t xml:space="preserve">fund</w:t>
      </w:r>
      <w:r>
        <w:t>))</w:t>
      </w:r>
      <w:r>
        <w:rPr/>
        <w:t xml:space="preserve"> </w:t>
      </w:r>
      <w:r>
        <w:rPr>
          <w:u w:val="single"/>
        </w:rPr>
        <w:t xml:space="preserve">account</w:t>
      </w:r>
      <w:r>
        <w:rPr/>
        <w:t xml:space="preserve">.</w:t>
      </w:r>
    </w:p>
    <w:p>
      <w:pPr>
        <w:spacing w:before="0" w:after="0" w:line="408" w:lineRule="exact"/>
        <w:ind w:left="0" w:right="0" w:firstLine="576"/>
        <w:jc w:val="left"/>
      </w:pPr>
      <w:r>
        <w:rPr/>
        <w:t xml:space="preserve">(5) The state liquor control board </w:t>
      </w:r>
      <w:r>
        <w:t>((</w:t>
      </w:r>
      <w:r>
        <w:rPr>
          <w:strike/>
        </w:rPr>
        <w:t xml:space="preserve">shall</w:t>
      </w:r>
      <w:r>
        <w:t>))</w:t>
      </w:r>
      <w:r>
        <w:rPr/>
        <w:t xml:space="preserve"> </w:t>
      </w:r>
      <w:r>
        <w:rPr>
          <w:u w:val="single"/>
        </w:rPr>
        <w:t xml:space="preserve">must</w:t>
      </w:r>
      <w:r>
        <w:rPr/>
        <w:t xml:space="preserve"> regularly review the tax levels established under this section and make recommendations to the legislature as appropriate regarding adjustments that would further the goal of discouraging use while undercutting illegal market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t>((</w:t>
      </w:r>
      <w:r>
        <w:rPr>
          <w:strike/>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w:t>
      </w:r>
      <w:r>
        <w:t>))</w:t>
      </w:r>
      <w:r>
        <w:rPr/>
        <w:t xml:space="preserve"> </w:t>
      </w:r>
      <w:r>
        <w:rPr>
          <w:u w:val="single"/>
        </w:rPr>
        <w:t xml:space="preserve">At the end of each quarter during each fiscal year, subject to appropriated amounts, the funds in the dedicated marijuana account must be disbursed</w:t>
      </w:r>
      <w:r>
        <w:rPr/>
        <w:t xml:space="preserve">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w:t>
      </w:r>
      <w:r>
        <w:t>((</w:t>
      </w:r>
      <w:r>
        <w:rPr>
          <w:strike/>
        </w:rPr>
        <w:t xml:space="preserve">shall</w:t>
      </w:r>
      <w:r>
        <w:t>))</w:t>
      </w:r>
      <w:r>
        <w:rPr/>
        <w:t xml:space="preserve"> </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t xml:space="preserve"> </w:t>
      </w:r>
      <w:r>
        <w:rPr>
          <w:u w:val="single"/>
        </w:rPr>
        <w:t xml:space="preserve">must</w:t>
      </w:r>
      <w:r>
        <w:rPr/>
        <w:t xml:space="preserve">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w:t>
      </w:r>
      <w:r>
        <w:rPr>
          <w:u w:val="single"/>
        </w:rPr>
        <w:t xml:space="preserve">of the funds deposited into the account for the quarter must be disbursed</w:t>
      </w:r>
      <w:r>
        <w:rPr/>
        <w:t xml:space="preserve"> to the state liquor control board as is necessary for administration of chapter 3, Laws of 2013;</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and cost-beneficial programs and practices that produce objectively measurable results;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w:t>
      </w:r>
      <w:r>
        <w:t>((</w:t>
      </w:r>
      <w:r>
        <w:rPr>
          <w:strike/>
        </w:rPr>
        <w:t xml:space="preserve">shall</w:t>
      </w:r>
      <w:r>
        <w:t>))</w:t>
      </w:r>
      <w:r>
        <w:rPr/>
        <w:t xml:space="preserve"> </w:t>
      </w:r>
      <w:r>
        <w:rPr>
          <w:u w:val="single"/>
        </w:rPr>
        <w:t xml:space="preserve">must</w:t>
      </w:r>
      <w:r>
        <w:rPr/>
        <w:t xml:space="preserve">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w:t>
      </w:r>
      <w:r>
        <w:t>((</w:t>
      </w:r>
      <w:r>
        <w:rPr>
          <w:strike/>
        </w:rPr>
        <w:t xml:space="preserve">Fifty percent to the state basic health plan trust account to be administered by the Washington basic health plan administrator and used as provided under chapter 70.47 RCW;</w:t>
      </w:r>
      <w:r>
        <w:t>))</w:t>
      </w:r>
      <w:r>
        <w:rPr/>
        <w:t xml:space="preserve"> </w:t>
      </w:r>
      <w:r>
        <w:rPr>
          <w:u w:val="single"/>
        </w:rPr>
        <w:t xml:space="preserve">Thirty-three percent must be appropriated to counties, cities, and towns in the following manner:</w:t>
      </w:r>
    </w:p>
    <w:p>
      <w:pPr>
        <w:spacing w:before="0" w:after="0" w:line="408" w:lineRule="exact"/>
        <w:ind w:left="0" w:right="0" w:firstLine="576"/>
        <w:jc w:val="left"/>
      </w:pPr>
      <w:r>
        <w:rPr>
          <w:u w:val="single"/>
        </w:rPr>
        <w:t xml:space="preserve">(i) Fifty percent must be distributed to counties, cities, and towns where marijuana licensees are physically located. Each jurisdiction must receive a share of this distribution based on the proportional share of the total revenues generated in the individual jurisdiction from the taxes collected under RCW 69.50.535 from licensees physically located in each jurisdiction; and</w:t>
      </w:r>
    </w:p>
    <w:p>
      <w:pPr>
        <w:spacing w:before="0" w:after="0" w:line="408" w:lineRule="exact"/>
        <w:ind w:left="0" w:right="0" w:firstLine="576"/>
        <w:jc w:val="left"/>
      </w:pPr>
      <w:r>
        <w:rPr>
          <w:u w:val="single"/>
        </w:rPr>
        <w:t xml:space="preserve">(ii) Fifty percent must be distributed to counties, cities, and towns to be used for criminal justice purposes. Criminal justice purposes has the same meaning as described in RCW 82.14.340. The funds must be distributed as follows:</w:t>
      </w:r>
    </w:p>
    <w:p>
      <w:pPr>
        <w:spacing w:before="0" w:after="0" w:line="408" w:lineRule="exact"/>
        <w:ind w:left="0" w:right="0" w:firstLine="576"/>
        <w:jc w:val="left"/>
      </w:pPr>
      <w:r>
        <w:rPr>
          <w:u w:val="single"/>
        </w:rPr>
        <w:t xml:space="preserve">(A) Seventy percent distributed on a per capita basis to counties; and</w:t>
      </w:r>
    </w:p>
    <w:p>
      <w:pPr>
        <w:spacing w:before="0" w:after="0" w:line="408" w:lineRule="exact"/>
        <w:ind w:left="0" w:right="0" w:firstLine="576"/>
        <w:jc w:val="left"/>
      </w:pPr>
      <w:r>
        <w:rPr>
          <w:u w:val="single"/>
        </w:rPr>
        <w:t xml:space="preserve">(B) Thirty percent distributed on a per capita basis to cities; and</w:t>
      </w:r>
    </w:p>
    <w:p>
      <w:pPr>
        <w:spacing w:before="0" w:after="0" w:line="408" w:lineRule="exact"/>
        <w:ind w:left="0" w:right="0" w:firstLine="576"/>
        <w:jc w:val="left"/>
      </w:pPr>
      <w:r>
        <w:rPr>
          <w:u w:val="single"/>
        </w:rPr>
        <w:t xml:space="preserve">(C) Funds may only be distributed to those jurisdictions that have not banned the siting or operation of state licensed marijuana producers, processors, or retailers through affirmative legislative action, moratorium, or other legal action;</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 </w:t>
      </w:r>
    </w:p>
    <w:p>
      <w:pPr>
        <w:spacing w:before="0" w:after="0" w:line="408" w:lineRule="exact"/>
        <w:ind w:left="0" w:right="0" w:firstLine="576"/>
        <w:jc w:val="left"/>
      </w:pPr>
      <w:r>
        <w:rPr/>
        <w:t xml:space="preserve">(f)</w:t>
      </w:r>
      <w:r>
        <w:rPr/>
        <w:t xml:space="preserve">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 The provisions of RCW 9.95.240 and of chapter 9.96A RCW </w:t>
      </w:r>
      <w:r>
        <w:t>((</w:t>
      </w:r>
      <w:r>
        <w:rPr>
          <w:strike/>
        </w:rPr>
        <w:t xml:space="preserve">shall</w:t>
      </w:r>
      <w:r>
        <w:t>))</w:t>
      </w:r>
      <w:r>
        <w:rPr/>
        <w:t xml:space="preserve"> </w:t>
      </w:r>
      <w:r>
        <w:rPr>
          <w:u w:val="single"/>
        </w:rPr>
        <w:t xml:space="preserve">do</w:t>
      </w:r>
      <w:r>
        <w:rPr/>
        <w:t xml:space="preserve">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w:t>
      </w:r>
      <w:r>
        <w:t>((</w:t>
      </w:r>
      <w:r>
        <w:rPr>
          <w:strike/>
        </w:rPr>
        <w:t xml:space="preserve">shall</w:t>
      </w:r>
      <w:r>
        <w:t>))</w:t>
      </w:r>
      <w:r>
        <w:rPr/>
        <w:t xml:space="preserve"> </w:t>
      </w:r>
      <w:r>
        <w:rPr>
          <w:u w:val="single"/>
        </w:rPr>
        <w:t xml:space="preserve">must</w:t>
      </w:r>
      <w:r>
        <w:rPr/>
        <w:t xml:space="preserve">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w:t>
      </w:r>
      <w:r>
        <w:t>((</w:t>
      </w:r>
      <w:r>
        <w:rPr>
          <w:strike/>
        </w:rPr>
        <w:t xml:space="preserve">shall</w:t>
      </w:r>
      <w:r>
        <w:t>))</w:t>
      </w:r>
      <w:r>
        <w:rPr/>
        <w:t xml:space="preserve"> </w:t>
      </w:r>
      <w:r>
        <w:rPr>
          <w:u w:val="single"/>
        </w:rPr>
        <w:t xml:space="preserve">must</w:t>
      </w:r>
      <w:r>
        <w:rPr/>
        <w:t xml:space="preserve"> be suspended or terminated, as the case may be.</w:t>
      </w:r>
    </w:p>
    <w:p>
      <w:pPr>
        <w:spacing w:before="0" w:after="0" w:line="408" w:lineRule="exact"/>
        <w:ind w:left="0" w:right="0" w:firstLine="576"/>
        <w:jc w:val="left"/>
      </w:pPr>
      <w:r>
        <w:rPr/>
        <w:t xml:space="preserve">(b) The state liquor control board </w:t>
      </w:r>
      <w:r>
        <w:t>((</w:t>
      </w:r>
      <w:r>
        <w:rPr>
          <w:strike/>
        </w:rPr>
        <w:t xml:space="preserve">shall</w:t>
      </w:r>
      <w:r>
        <w:t>))</w:t>
      </w:r>
      <w:r>
        <w:rPr/>
        <w:t xml:space="preserve"> </w:t>
      </w:r>
      <w:r>
        <w:rPr>
          <w:u w:val="single"/>
        </w:rPr>
        <w:t xml:space="preserve">must</w:t>
      </w:r>
      <w:r>
        <w:rPr/>
        <w:t xml:space="preserve">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w:t>
      </w:r>
      <w:r>
        <w:t>((</w:t>
      </w:r>
      <w:r>
        <w:rPr>
          <w:strike/>
        </w:rPr>
        <w:t xml:space="preserve">shall</w:t>
      </w:r>
      <w:r>
        <w:t>))</w:t>
      </w:r>
      <w:r>
        <w:rPr/>
        <w:t xml:space="preserve"> </w:t>
      </w:r>
      <w:r>
        <w:rPr>
          <w:u w:val="single"/>
        </w:rPr>
        <w:t xml:space="preserve">must</w:t>
      </w:r>
      <w:r>
        <w:rPr/>
        <w:t xml:space="preserve">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w:t>
      </w:r>
      <w:r>
        <w:t>((</w:t>
      </w:r>
      <w:r>
        <w:rPr>
          <w:strike/>
        </w:rPr>
        <w:t xml:space="preserve">shall</w:t>
      </w:r>
      <w:r>
        <w:t>))</w:t>
      </w:r>
      <w:r>
        <w:rPr/>
        <w:t xml:space="preserve"> </w:t>
      </w:r>
      <w:r>
        <w:rPr>
          <w:u w:val="single"/>
        </w:rPr>
        <w:t xml:space="preserve">must</w:t>
      </w:r>
      <w:r>
        <w:rPr/>
        <w:t xml:space="preserve">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w:t>
      </w:r>
      <w:r>
        <w:t>((</w:t>
      </w:r>
      <w:r>
        <w:rPr>
          <w:strike/>
        </w:rPr>
        <w:t xml:space="preserve">shall be</w:t>
      </w:r>
      <w:r>
        <w:t>))</w:t>
      </w:r>
      <w:r>
        <w:rPr/>
        <w:t xml:space="preserve"> </w:t>
      </w:r>
      <w:r>
        <w:rPr>
          <w:u w:val="single"/>
        </w:rPr>
        <w:t xml:space="preserve">are</w:t>
      </w:r>
      <w:r>
        <w:rPr/>
        <w:t xml:space="preserv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w:t>
      </w:r>
      <w:r>
        <w:t>((</w:t>
      </w:r>
      <w:r>
        <w:rPr>
          <w:strike/>
        </w:rPr>
        <w:t xml:space="preserve">shall</w:t>
      </w:r>
      <w:r>
        <w:t>))</w:t>
      </w:r>
      <w:r>
        <w:rPr/>
        <w:t xml:space="preserve"> </w:t>
      </w:r>
      <w:r>
        <w:rPr>
          <w:u w:val="single"/>
        </w:rPr>
        <w:t xml:space="preserve">must</w:t>
      </w:r>
      <w:r>
        <w:rPr/>
        <w:t xml:space="preserve">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w:t>
      </w:r>
      <w:r>
        <w:t>((</w:t>
      </w:r>
      <w:r>
        <w:rPr>
          <w:strike/>
        </w:rPr>
        <w:t xml:space="preserve">shall forthwith</w:t>
      </w:r>
      <w:r>
        <w:t>))</w:t>
      </w:r>
      <w:r>
        <w:rPr/>
        <w:t xml:space="preserve"> </w:t>
      </w:r>
      <w:r>
        <w:rPr>
          <w:u w:val="single"/>
        </w:rPr>
        <w:t xml:space="preserve">must</w:t>
      </w:r>
      <w:r>
        <w:rPr/>
        <w:t xml:space="preserve"> deliver </w:t>
      </w:r>
      <w:r>
        <w:t>((</w:t>
      </w:r>
      <w:r>
        <w:rPr>
          <w:strike/>
        </w:rPr>
        <w:t xml:space="preserve">up</w:t>
      </w:r>
      <w:r>
        <w:t>))</w:t>
      </w:r>
      <w:r>
        <w:rPr/>
        <w:t xml:space="preserve"> the license to the state liquor control board. Where the license has been suspended only, the state liquor control board </w:t>
      </w:r>
      <w:r>
        <w:t>((</w:t>
      </w:r>
      <w:r>
        <w:rPr>
          <w:strike/>
        </w:rPr>
        <w:t xml:space="preserve">shall</w:t>
      </w:r>
      <w:r>
        <w:t>))</w:t>
      </w:r>
      <w:r>
        <w:rPr/>
        <w:t xml:space="preserve"> </w:t>
      </w:r>
      <w:r>
        <w:rPr>
          <w:u w:val="single"/>
        </w:rPr>
        <w:t xml:space="preserve">must</w:t>
      </w:r>
      <w:r>
        <w:rPr/>
        <w:t xml:space="preserve"> return the license to the licensee at the expiration or termination of the period of suspension. The state liquor control board </w:t>
      </w:r>
      <w:r>
        <w:t>((</w:t>
      </w:r>
      <w:r>
        <w:rPr>
          <w:strike/>
        </w:rPr>
        <w:t xml:space="preserve">shall</w:t>
      </w:r>
      <w:r>
        <w:t>))</w:t>
      </w:r>
      <w:r>
        <w:rPr/>
        <w:t xml:space="preserve"> </w:t>
      </w:r>
      <w:r>
        <w:rPr>
          <w:u w:val="single"/>
        </w:rPr>
        <w:t xml:space="preserve">must</w:t>
      </w:r>
      <w:r>
        <w:rPr/>
        <w:t xml:space="preserve">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w:t>
      </w:r>
      <w:r>
        <w:t>((</w:t>
      </w:r>
      <w:r>
        <w:rPr>
          <w:strike/>
        </w:rPr>
        <w:t xml:space="preserve">shall be</w:t>
      </w:r>
      <w:r>
        <w:t>))</w:t>
      </w:r>
      <w:r>
        <w:rPr/>
        <w:t xml:space="preserve"> </w:t>
      </w:r>
      <w:r>
        <w:rPr>
          <w:u w:val="single"/>
        </w:rPr>
        <w:t xml:space="preserve">is</w:t>
      </w:r>
      <w:r>
        <w:rPr/>
        <w:t xml:space="preserv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w:t>
      </w:r>
      <w:r>
        <w:t>((</w:t>
      </w:r>
      <w:r>
        <w:rPr>
          <w:strike/>
        </w:rPr>
        <w:t xml:space="preserve">shall</w:t>
      </w:r>
      <w:r>
        <w:t>))</w:t>
      </w:r>
      <w:r>
        <w:rPr/>
        <w:t xml:space="preserve"> </w:t>
      </w:r>
      <w:r>
        <w:rPr>
          <w:u w:val="single"/>
        </w:rPr>
        <w:t xml:space="preserve">must</w:t>
      </w:r>
      <w:r>
        <w:rPr/>
        <w:t xml:space="preserve"> be listed on the face of the individual license along with the trade name, address, and expiration date.</w:t>
      </w:r>
    </w:p>
    <w:p>
      <w:pPr>
        <w:spacing w:before="0" w:after="0" w:line="408" w:lineRule="exact"/>
        <w:ind w:left="0" w:right="0" w:firstLine="576"/>
        <w:jc w:val="left"/>
      </w:pPr>
      <w:r>
        <w:rPr/>
        <w:t xml:space="preserve">(5) Every licensee </w:t>
      </w:r>
      <w:r>
        <w:t>((</w:t>
      </w:r>
      <w:r>
        <w:rPr>
          <w:strike/>
        </w:rPr>
        <w:t xml:space="preserve">shall</w:t>
      </w:r>
      <w:r>
        <w:t>))</w:t>
      </w:r>
      <w:r>
        <w:rPr/>
        <w:t xml:space="preserve"> </w:t>
      </w:r>
      <w:r>
        <w:rPr>
          <w:u w:val="single"/>
        </w:rPr>
        <w:t xml:space="preserve">must</w:t>
      </w:r>
      <w:r>
        <w:rPr/>
        <w:t xml:space="preserve"> post and keep posted its license, or licenses, in a conspicuous place on the premises.</w:t>
      </w:r>
    </w:p>
    <w:p>
      <w:pPr>
        <w:spacing w:before="0" w:after="0" w:line="408" w:lineRule="exact"/>
        <w:ind w:left="0" w:right="0" w:firstLine="576"/>
        <w:jc w:val="left"/>
      </w:pPr>
      <w:r>
        <w:rPr/>
        <w:t xml:space="preserve">(6) </w:t>
      </w:r>
      <w:r>
        <w:t>((</w:t>
      </w:r>
      <w:r>
        <w:rPr>
          <w:strike/>
        </w:rPr>
        <w:t xml:space="preserve">No</w:t>
      </w:r>
      <w:r>
        <w:t>))</w:t>
      </w:r>
      <w:r>
        <w:rPr/>
        <w:t xml:space="preserve"> </w:t>
      </w:r>
      <w:r>
        <w:rPr>
          <w:u w:val="single"/>
        </w:rPr>
        <w:t xml:space="preserve">A</w:t>
      </w:r>
      <w:r>
        <w:rPr/>
        <w:t xml:space="preserve"> licensee </w:t>
      </w:r>
      <w:r>
        <w:t>((</w:t>
      </w:r>
      <w:r>
        <w:rPr>
          <w:strike/>
        </w:rPr>
        <w:t xml:space="preserve">shall</w:t>
      </w:r>
      <w:r>
        <w:t>))</w:t>
      </w:r>
      <w:r>
        <w:rPr/>
        <w:t xml:space="preserve"> </w:t>
      </w:r>
      <w:r>
        <w:rPr>
          <w:u w:val="single"/>
        </w:rPr>
        <w:t xml:space="preserve">may not</w:t>
      </w:r>
      <w:r>
        <w:rPr/>
        <w:t xml:space="preserve">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w:t>
      </w:r>
      <w:r>
        <w:t>((</w:t>
      </w:r>
      <w:r>
        <w:rPr>
          <w:strike/>
        </w:rPr>
        <w:t xml:space="preserve">shall</w:t>
      </w:r>
      <w:r>
        <w:t>))</w:t>
      </w:r>
      <w:r>
        <w:rPr/>
        <w:t xml:space="preserve"> </w:t>
      </w:r>
      <w:r>
        <w:rPr>
          <w:u w:val="single"/>
        </w:rPr>
        <w:t xml:space="preserve">must</w:t>
      </w:r>
      <w:r>
        <w:rPr/>
        <w:t xml:space="preserve">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w:t>
      </w:r>
      <w:r>
        <w:t>((</w:t>
      </w:r>
      <w:r>
        <w:rPr>
          <w:strike/>
        </w:rPr>
        <w:t xml:space="preserve">shall have</w:t>
      </w:r>
      <w:r>
        <w:t>))</w:t>
      </w:r>
      <w:r>
        <w:rPr/>
        <w:t xml:space="preserve"> </w:t>
      </w:r>
      <w:r>
        <w:rPr>
          <w:u w:val="single"/>
        </w:rPr>
        <w:t xml:space="preserve">has</w:t>
      </w:r>
      <w:r>
        <w:rPr/>
        <w:t xml:space="preser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w:t>
      </w:r>
      <w:r>
        <w:t>((</w:t>
      </w:r>
      <w:r>
        <w:rPr>
          <w:strike/>
        </w:rPr>
        <w:t xml:space="preserve">shall</w:t>
      </w:r>
      <w:r>
        <w:t>))</w:t>
      </w:r>
      <w:r>
        <w:rPr/>
        <w:t xml:space="preserve"> </w:t>
      </w:r>
      <w:r>
        <w:rPr>
          <w:u w:val="single"/>
        </w:rPr>
        <w:t xml:space="preserve">must</w:t>
      </w:r>
      <w:r>
        <w:rPr/>
        <w:t xml:space="preserve">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w:t>
      </w:r>
      <w:r>
        <w:t>((</w:t>
      </w:r>
      <w:r>
        <w:rPr>
          <w:strike/>
        </w:rPr>
        <w:t xml:space="preserve">shall</w:t>
      </w:r>
      <w:r>
        <w:t>))</w:t>
      </w:r>
      <w:r>
        <w:rPr/>
        <w:t xml:space="preserve"> </w:t>
      </w:r>
      <w:r>
        <w:rPr>
          <w:u w:val="single"/>
        </w:rPr>
        <w:t xml:space="preserve">must</w:t>
      </w:r>
      <w:r>
        <w:rPr/>
        <w:t xml:space="preserve">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w:t>
      </w:r>
      <w:r>
        <w:t>((</w:t>
      </w:r>
      <w:r>
        <w:rPr>
          <w:strike/>
        </w:rPr>
        <w:t xml:space="preserve">shall</w:t>
      </w:r>
      <w:r>
        <w:t>))</w:t>
      </w:r>
      <w:r>
        <w:rPr/>
        <w:t xml:space="preserve"> </w:t>
      </w:r>
      <w:r>
        <w:rPr>
          <w:u w:val="single"/>
        </w:rPr>
        <w:t xml:space="preserve">must</w:t>
      </w:r>
      <w:r>
        <w:rPr/>
        <w:t xml:space="preserve">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w:t>
      </w:r>
      <w:r>
        <w:t>((</w:t>
      </w:r>
      <w:r>
        <w:rPr>
          <w:strike/>
        </w:rPr>
        <w:t xml:space="preserve">shall</w:t>
      </w:r>
      <w:r>
        <w:t>))</w:t>
      </w:r>
      <w:r>
        <w:rPr/>
        <w:t xml:space="preserve"> </w:t>
      </w:r>
      <w:r>
        <w:rPr>
          <w:u w:val="single"/>
        </w:rPr>
        <w:t xml:space="preserve">may</w:t>
      </w:r>
      <w:r>
        <w:rPr/>
        <w:t xml:space="preserve">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r>
        <w:rPr>
          <w:u w:val="single"/>
        </w:rPr>
        <w:t xml:space="preserve">, unless the legislative body of an incorporated city or town has exempted the city or town from the one thousand foot restriction set forth in this subsection by adopting legislation that declares such an exemption to be necessary to create enough potential locations within the city or town to allow a marijuana retail facility to be sited. The legislative body of an incorporated city or town may exempt certain specific land uses, except elementary or secondary schools, from the one thousand foot restriction set forth in this subsection. The legislative body of an incorporated city or town may reduce the size of the one thousand foot restriction set forth in this subsection for one or more specific land uses</w:t>
      </w:r>
      <w:r>
        <w:rPr/>
        <w:t xml:space="preserve">.</w:t>
      </w:r>
    </w:p>
    <w:p>
      <w:pPr>
        <w:spacing w:before="0" w:after="0" w:line="408" w:lineRule="exact"/>
        <w:ind w:left="0" w:right="0" w:firstLine="576"/>
        <w:jc w:val="left"/>
      </w:pPr>
      <w:r>
        <w:rPr/>
        <w:t xml:space="preserve">(9) In determining whether to grant or deny a license or renewal of any license, the state liquor control board </w:t>
      </w:r>
      <w:r>
        <w:t>((</w:t>
      </w:r>
      <w:r>
        <w:rPr>
          <w:strike/>
        </w:rPr>
        <w:t xml:space="preserve">shall</w:t>
      </w:r>
      <w:r>
        <w:t>))</w:t>
      </w:r>
      <w:r>
        <w:rPr/>
        <w:t xml:space="preserve"> </w:t>
      </w:r>
      <w:r>
        <w:rPr>
          <w:u w:val="single"/>
        </w:rPr>
        <w:t xml:space="preserve">must</w:t>
      </w:r>
      <w:r>
        <w:rPr/>
        <w:t xml:space="preserve">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922ad6071b04e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4e61d30cde40fe" /><Relationship Type="http://schemas.openxmlformats.org/officeDocument/2006/relationships/footer" Target="/word/footer.xml" Id="R9922ad6071b04e89" /></Relationships>
</file>