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c78ca0f3564c0b" /></Relationships>
</file>

<file path=word/document.xml><?xml version="1.0" encoding="utf-8"?>
<w:document xmlns:w="http://schemas.openxmlformats.org/wordprocessingml/2006/main">
  <w:body>
    <w:p>
      <w:r>
        <w:t>S-0161.1</w:t>
      </w:r>
    </w:p>
    <w:p>
      <w:pPr>
        <w:jc w:val="center"/>
      </w:pPr>
      <w:r>
        <w:t>_______________________________________________</w:t>
      </w:r>
    </w:p>
    <w:p/>
    <w:p>
      <w:pPr>
        <w:jc w:val="center"/>
      </w:pPr>
      <w:r>
        <w:rPr>
          <w:b/>
        </w:rPr>
        <w:t>SENATE BILL 5416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King and Benton</w:t>
      </w:r>
    </w:p>
    <w:p/>
    <w:p>
      <w:r>
        <w:rPr>
          <w:t xml:space="preserve">Read first time 01/21/15.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 fees on vessel-related transactions; amending RCW 88.02.560 and 88.02.640;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560</w:t>
      </w:r>
      <w:r>
        <w:rPr/>
        <w:t xml:space="preserve"> and 2011 c 171 s 129 are each amended to read as follows:</w:t>
      </w:r>
    </w:p>
    <w:p>
      <w:pPr>
        <w:spacing w:before="0" w:after="0" w:line="408" w:lineRule="exact"/>
        <w:ind w:left="0" w:right="0" w:firstLine="576"/>
        <w:jc w:val="left"/>
      </w:pPr>
      <w:r>
        <w:rPr/>
        <w:t xml:space="preserve">(1) An application for a vessel registration must be made by the owner or the owner's authorized representative to the department, county auditor or other agent, or subagent appointed by the director on a form furnished or approved by the department. The application must contain:</w:t>
      </w:r>
    </w:p>
    <w:p>
      <w:pPr>
        <w:spacing w:before="0" w:after="0" w:line="408" w:lineRule="exact"/>
        <w:ind w:left="0" w:right="0" w:firstLine="576"/>
        <w:jc w:val="left"/>
      </w:pPr>
      <w:r>
        <w:rPr/>
        <w:t xml:space="preserve">(a) The name and address of each owner of the vessel;</w:t>
      </w:r>
    </w:p>
    <w:p>
      <w:pPr>
        <w:spacing w:before="0" w:after="0" w:line="408" w:lineRule="exact"/>
        <w:ind w:left="0" w:right="0" w:firstLine="576"/>
        <w:jc w:val="left"/>
      </w:pPr>
      <w:r>
        <w:rPr/>
        <w:t xml:space="preserve">(b) Other information the department may require; and</w:t>
      </w:r>
    </w:p>
    <w:p>
      <w:pPr>
        <w:spacing w:before="0" w:after="0" w:line="408" w:lineRule="exact"/>
        <w:ind w:left="0" w:right="0" w:firstLine="576"/>
        <w:jc w:val="left"/>
      </w:pPr>
      <w:r>
        <w:rPr/>
        <w:t xml:space="preserve">(c) The signature of at least one owner.</w:t>
      </w:r>
    </w:p>
    <w:p>
      <w:pPr>
        <w:spacing w:before="0" w:after="0" w:line="408" w:lineRule="exact"/>
        <w:ind w:left="0" w:right="0" w:firstLine="576"/>
        <w:jc w:val="left"/>
      </w:pPr>
      <w:r>
        <w:rPr/>
        <w:t xml:space="preserve">(2) The application for vessel registration must be accompanied by the:</w:t>
      </w:r>
    </w:p>
    <w:p>
      <w:pPr>
        <w:spacing w:before="0" w:after="0" w:line="408" w:lineRule="exact"/>
        <w:ind w:left="0" w:right="0" w:firstLine="576"/>
        <w:jc w:val="left"/>
      </w:pPr>
      <w:r>
        <w:rPr/>
        <w:t xml:space="preserve">(a) Vessel registration fee required under RCW 88.02.640(1)</w:t>
      </w:r>
      <w:r>
        <w:t>((</w:t>
      </w:r>
      <w:r>
        <w:rPr>
          <w:strike/>
        </w:rPr>
        <w:t xml:space="preserve">(i)</w:t>
      </w:r>
      <w:r>
        <w:t>))</w:t>
      </w:r>
      <w:r>
        <w:rPr>
          <w:u w:val="single"/>
        </w:rPr>
        <w:t xml:space="preserve">(k)</w:t>
      </w:r>
      <w:r>
        <w:rPr/>
        <w:t xml:space="preserve">;</w:t>
      </w:r>
    </w:p>
    <w:p>
      <w:pPr>
        <w:spacing w:before="0" w:after="0" w:line="408" w:lineRule="exact"/>
        <w:ind w:left="0" w:right="0" w:firstLine="576"/>
        <w:jc w:val="left"/>
      </w:pPr>
      <w:r>
        <w:rPr/>
        <w:t xml:space="preserve">(b) Derelict vessel and invasive species removal fee under RCW 88.02.640</w:t>
      </w:r>
      <w:r>
        <w:t>((</w:t>
      </w:r>
      <w:r>
        <w:rPr>
          <w:strike/>
        </w:rPr>
        <w:t xml:space="preserve">(3)</w:t>
      </w:r>
      <w:r>
        <w:t>))</w:t>
      </w:r>
      <w:r>
        <w:rPr>
          <w:u w:val="single"/>
        </w:rPr>
        <w:t xml:space="preserve">(1)</w:t>
      </w:r>
      <w:r>
        <w:rPr/>
        <w:t xml:space="preserve">(b) and derelict vessel removal surcharge required under RCW 88.02.640</w:t>
      </w:r>
      <w:r>
        <w:t>((</w:t>
      </w:r>
      <w:r>
        <w:rPr>
          <w:strike/>
        </w:rPr>
        <w:t xml:space="preserve">(4)</w:t>
      </w:r>
      <w:r>
        <w:t>))</w:t>
      </w:r>
      <w:r>
        <w:rPr>
          <w:u w:val="single"/>
        </w:rPr>
        <w:t xml:space="preserve">(1)(c)</w:t>
      </w:r>
      <w:r>
        <w:rPr/>
        <w:t xml:space="preserve">;</w:t>
      </w:r>
    </w:p>
    <w:p>
      <w:pPr>
        <w:spacing w:before="0" w:after="0" w:line="408" w:lineRule="exact"/>
        <w:ind w:left="0" w:right="0" w:firstLine="576"/>
        <w:jc w:val="left"/>
      </w:pPr>
      <w:r>
        <w:rPr/>
        <w:t xml:space="preserve">(c) Filing fee required under RCW 88.02.640(1)</w:t>
      </w:r>
      <w:r>
        <w:t>((</w:t>
      </w:r>
      <w:r>
        <w:rPr>
          <w:strike/>
        </w:rPr>
        <w:t xml:space="preserve">(e)</w:t>
      </w:r>
      <w:r>
        <w:t>))</w:t>
      </w:r>
      <w:r>
        <w:rPr>
          <w:u w:val="single"/>
        </w:rPr>
        <w:t xml:space="preserve">(f)</w:t>
      </w:r>
      <w:r>
        <w:rPr/>
        <w:t xml:space="preserve">;</w:t>
      </w:r>
    </w:p>
    <w:p>
      <w:pPr>
        <w:spacing w:before="0" w:after="0" w:line="408" w:lineRule="exact"/>
        <w:ind w:left="0" w:right="0" w:firstLine="576"/>
        <w:jc w:val="left"/>
      </w:pPr>
      <w:r>
        <w:rPr/>
        <w:t xml:space="preserve">(d) License plate technology fee required under RCW 88.02.640(1)</w:t>
      </w:r>
      <w:r>
        <w:t>((</w:t>
      </w:r>
      <w:r>
        <w:rPr>
          <w:strike/>
        </w:rPr>
        <w:t xml:space="preserve">(f)</w:t>
      </w:r>
      <w:r>
        <w:t>))</w:t>
      </w:r>
      <w:r>
        <w:rPr>
          <w:u w:val="single"/>
        </w:rPr>
        <w:t xml:space="preserve">(g)</w:t>
      </w:r>
      <w:r>
        <w:rPr/>
        <w:t xml:space="preserve">;</w:t>
      </w:r>
    </w:p>
    <w:p>
      <w:pPr>
        <w:spacing w:before="0" w:after="0" w:line="408" w:lineRule="exact"/>
        <w:ind w:left="0" w:right="0" w:firstLine="576"/>
        <w:jc w:val="left"/>
      </w:pPr>
      <w:r>
        <w:rPr/>
        <w:t xml:space="preserve">(e) License service fee required under RCW 88.02.640(1)</w:t>
      </w:r>
      <w:r>
        <w:t>((</w:t>
      </w:r>
      <w:r>
        <w:rPr>
          <w:strike/>
        </w:rPr>
        <w:t xml:space="preserve">(g)</w:t>
      </w:r>
      <w:r>
        <w:t>))</w:t>
      </w:r>
      <w:r>
        <w:rPr>
          <w:u w:val="single"/>
        </w:rPr>
        <w:t xml:space="preserve">(h)</w:t>
      </w:r>
      <w:r>
        <w:rPr/>
        <w:t xml:space="preserve">; </w:t>
      </w:r>
      <w:r>
        <w:t>((</w:t>
      </w:r>
      <w:r>
        <w:rPr>
          <w:strike/>
        </w:rPr>
        <w:t xml:space="preserve">and</w:t>
      </w:r>
      <w:r>
        <w:t>))</w:t>
      </w:r>
    </w:p>
    <w:p>
      <w:pPr>
        <w:spacing w:before="0" w:after="0" w:line="408" w:lineRule="exact"/>
        <w:ind w:left="0" w:right="0" w:firstLine="576"/>
        <w:jc w:val="left"/>
      </w:pPr>
      <w:r>
        <w:rPr/>
        <w:t xml:space="preserve">(f) Watercraft excise tax required under chapter 82.49 RCW</w:t>
      </w:r>
      <w:r>
        <w:rPr>
          <w:u w:val="single"/>
        </w:rPr>
        <w:t xml:space="preserve">; and</w:t>
      </w:r>
    </w:p>
    <w:p>
      <w:pPr>
        <w:spacing w:before="0" w:after="0" w:line="408" w:lineRule="exact"/>
        <w:ind w:left="0" w:right="0" w:firstLine="576"/>
        <w:jc w:val="left"/>
      </w:pPr>
      <w:r>
        <w:rPr>
          <w:u w:val="single"/>
        </w:rPr>
        <w:t xml:space="preserve">(g) Service fee required under RCW 46.17.040</w:t>
      </w:r>
      <w:r>
        <w:rPr/>
        <w:t xml:space="preserve">.</w:t>
      </w:r>
    </w:p>
    <w:p>
      <w:pPr>
        <w:spacing w:before="0" w:after="0" w:line="408" w:lineRule="exact"/>
        <w:ind w:left="0" w:right="0" w:firstLine="576"/>
        <w:jc w:val="left"/>
      </w:pPr>
      <w:r>
        <w:rPr/>
        <w:t xml:space="preserve">(3) Upon receipt of an application for vessel registration and the required fees and taxes, the department shall assign a registration number and issue a decal for each vessel. The registration number and decal must be issued and affixed to the vessel in a manner prescribed by the department consistent with the standard numbering system for vessels required in 33 C.F.R. Part 174. A valid decal affixed as prescribed must indicate compliance with the annual registration requirements of this chapter.</w:t>
      </w:r>
    </w:p>
    <w:p>
      <w:pPr>
        <w:spacing w:before="0" w:after="0" w:line="408" w:lineRule="exact"/>
        <w:ind w:left="0" w:right="0" w:firstLine="576"/>
        <w:jc w:val="left"/>
      </w:pPr>
      <w:r>
        <w:rPr/>
        <w:t xml:space="preserve">(4) Vessel registrations and decals are valid for a period of one year, except that the director may extend or diminish vessel registration periods and vessel decals for the purpose of staggered renewal periods. For registration periods of more or less than one year, the department may collect prorated annual registration fees and excise taxes based upon the number of months in the registration period.</w:t>
      </w:r>
    </w:p>
    <w:p>
      <w:pPr>
        <w:spacing w:before="0" w:after="0" w:line="408" w:lineRule="exact"/>
        <w:ind w:left="0" w:right="0" w:firstLine="576"/>
        <w:jc w:val="left"/>
      </w:pPr>
      <w:r>
        <w:rPr/>
        <w:t xml:space="preserve">(5) Vessel registrations are renewable every year in a manner prescribed by the department upon payment of the fees and taxes described in subsection (2) of this section. Upon renewing a vessel registration, the department shall issue a new decal to be affixed as prescribed by the department.</w:t>
      </w:r>
    </w:p>
    <w:p>
      <w:pPr>
        <w:spacing w:before="0" w:after="0" w:line="408" w:lineRule="exact"/>
        <w:ind w:left="0" w:right="0" w:firstLine="576"/>
        <w:jc w:val="left"/>
      </w:pPr>
      <w:r>
        <w:rPr/>
        <w:t xml:space="preserve">(6) When the department issues either a notice to renew a vessel registration or a decal for a new or renewed vessel registration, it shall also provide information on the location of marine oil recycling tanks and sewage holding tank pumping stations. This information must be provided to the department by the state parks and recreation commission in a form ready for distribution. The form must be developed and prepared by the state parks and recreation commission with the cooperation of the department of ecology. The department, the state parks and recreation commission, and the department of ecology shall enter into a memorandum of agreement to implement this process.</w:t>
      </w:r>
    </w:p>
    <w:p>
      <w:pPr>
        <w:spacing w:before="0" w:after="0" w:line="408" w:lineRule="exact"/>
        <w:ind w:left="0" w:right="0" w:firstLine="576"/>
        <w:jc w:val="left"/>
      </w:pPr>
      <w:r>
        <w:rPr/>
        <w:t xml:space="preserve">(7) A person acquiring a vessel from a dealer or a vessel already validly registered under this chapter shall, within fifteen days of the acquisition or purchase of the vessel, apply to the department, county auditor or other agent, or subagent appointed by the director for transfer of the vessel registration, and the application must be accompanied by a transfer fee as required in RCW 88.02.640(1)</w:t>
      </w:r>
      <w:r>
        <w:t>((</w:t>
      </w:r>
      <w:r>
        <w:rPr>
          <w:strike/>
        </w:rPr>
        <w:t xml:space="preserve">(l)</w:t>
      </w:r>
      <w:r>
        <w:t>))</w:t>
      </w:r>
      <w:r>
        <w:rPr>
          <w:u w:val="single"/>
        </w:rPr>
        <w:t xml:space="preserve">(o)</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2013 c 291 s 1 are each amended to read as follows:</w:t>
      </w:r>
    </w:p>
    <w:p>
      <w:pPr>
        <w:spacing w:before="0" w:after="120" w:line="408" w:lineRule="exact"/>
        <w:ind w:left="0" w:right="0" w:firstLine="576"/>
        <w:jc w:val="left"/>
      </w:pPr>
      <w:r>
        <w:rPr/>
        <w:t xml:space="preserve">(1) In addition to any other fees and taxes required by law, the department, county auditor or other agent, or subagent appointed by the director shall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spacing w:before="0" w:after="0" w:line="408" w:lineRule="exact"/>
              <w:ind w:left="0" w:right="0" w:firstLine="0"/>
              <w:jc w:val="left"/>
            </w:pPr>
            <w:r>
              <w:rPr>
                <w:rFonts w:ascii="Times New Roman" w:hAnsi="Times New Roman"/>
                <w:sz w:val="20"/>
              </w:rPr>
              <w:t xml:space="preserve">FEE</w:t>
            </w:r>
          </w:p>
        </w:tc>
        <w:tc>
          <w:tcPr>
            <w:tcW w:w="2540" w:type="dxa"/>
            <w:vAlign w:val="top"/>
          </w:tcPr>
          <w:p>
            <w:pPr>
              <w:spacing w:before="0" w:after="0" w:line="408" w:lineRule="exact"/>
              <w:ind w:left="0" w:right="0" w:firstLine="0"/>
              <w:jc w:val="left"/>
            </w:pPr>
            <w:r>
              <w:rPr>
                <w:rFonts w:ascii="Times New Roman" w:hAnsi="Times New Roman"/>
                <w:sz w:val="20"/>
              </w:rPr>
              <w:t xml:space="preserve">AMOUNT</w:t>
            </w:r>
          </w:p>
        </w:tc>
        <w:tc>
          <w:tcPr>
            <w:tcW w:w="2540" w:type="dxa"/>
            <w:vAlign w:val="top"/>
          </w:tcPr>
          <w:p>
            <w:pPr>
              <w:spacing w:before="0" w:after="0" w:line="408" w:lineRule="exact"/>
              <w:ind w:left="0" w:right="0" w:firstLine="0"/>
              <w:jc w:val="left"/>
            </w:pPr>
            <w:r>
              <w:rPr>
                <w:rFonts w:ascii="Times New Roman" w:hAnsi="Times New Roman"/>
                <w:sz w:val="20"/>
              </w:rPr>
              <w:t xml:space="preserve">AUTHORITY</w:t>
            </w:r>
          </w:p>
        </w:tc>
        <w:tc>
          <w:tcPr>
            <w:tcW w:w="2540" w:type="dxa"/>
            <w:vAlign w:val="top"/>
          </w:tcPr>
          <w:p>
            <w:pPr>
              <w:spacing w:before="0" w:after="0" w:line="408" w:lineRule="exact"/>
              <w:ind w:left="0" w:right="0" w:firstLine="0"/>
              <w:jc w:val="left"/>
            </w:pPr>
            <w:r>
              <w:rPr>
                <w:rFonts w:ascii="Times New Roman" w:hAnsi="Times New Roman"/>
                <w:sz w:val="20"/>
              </w:rPr>
              <w:t xml:space="preserve">DISTRIBUTION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(a) Dealer temporary permit</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88.02.800(2)</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(b) Derelict vessel and  invasive species  removal</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(c) Derelict vessel removal surcharge</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(d) Duplicate certificate of title</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88.02.530(1)(c)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(e) Duplicate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(f) Filing</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46.17.005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46.68.400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(g) License plate technology</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46.17.015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46.68.370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(h) License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46.68.220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(i) Nonresident vessel permit</w:t>
            </w:r>
          </w:p>
        </w:tc>
        <w:tc>
          <w:tcPr>
            <w:tcW w:w="2540" w:type="dxa"/>
            <w:vAlign w:val="top"/>
          </w:tcPr>
          <w:p>
            <w:pPr>
              <w:spacing w:before="0" w:after="0" w:line="408" w:lineRule="exact"/>
              <w:ind w:left="576" w:right="0" w:hanging="576"/>
              <w:jc w:val="left"/>
            </w:pPr>
            <w:r>
              <w:rPr>
                <w:rFonts w:ascii="Times New Roman" w:hAnsi="Times New Roman"/>
                <w:sz w:val="20"/>
              </w:rPr>
              <w:t xml:space="preserve">$25.00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88.02.620(3)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(j) Quick title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$50.00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88.02.540(3)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(7)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(k)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$10.50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88.02.650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(l) Replacement decal</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88.02.595(1)(c)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(m) </w:t>
            </w:r>
            <w:r>
              <w:rPr>
                <w:rFonts w:ascii="Times New Roman" w:hAnsi="Times New Roman"/>
                <w:sz w:val="20"/>
                <w:u w:val="single"/>
              </w:rPr>
              <w:t xml:space="preserve">Service fee</w:t>
            </w:r>
          </w:p>
        </w:tc>
        <w:tc>
          <w:tcPr>
            <w:tcW w:w="2540" w:type="dxa"/>
            <w:vAlign w:val="top"/>
          </w:tcPr>
          <w:p>
            <w:pPr>
              <w:spacing w:before="0" w:after="0" w:line="408" w:lineRule="exact"/>
              <w:ind w:left="0" w:right="0" w:firstLine="0"/>
              <w:jc w:val="left"/>
            </w:pPr>
            <w:r>
              <w:rPr>
                <w:rFonts w:ascii="Times New Roman" w:hAnsi="Times New Roman"/>
                <w:sz w:val="20"/>
                <w:u w:val="single"/>
              </w:rPr>
              <w:t xml:space="preserve">RCW 46.17.040</w:t>
            </w:r>
          </w:p>
        </w:tc>
        <w:tc>
          <w:tcPr>
            <w:tcW w:w="2540" w:type="dxa"/>
            <w:vAlign w:val="top"/>
          </w:tcPr>
          <w:p>
            <w:pPr>
              <w:spacing w:before="0" w:after="0" w:line="408" w:lineRule="exact"/>
              <w:ind w:left="0" w:right="0" w:firstLine="0"/>
              <w:jc w:val="left"/>
            </w:pPr>
            <w:r>
              <w:rPr>
                <w:rFonts w:ascii="Times New Roman" w:hAnsi="Times New Roman"/>
                <w:sz w:val="20"/>
                <w:u w:val="single"/>
              </w:rPr>
              <w:t xml:space="preserve">RCW 88.02.515 and 88.02.560(2)</w:t>
            </w:r>
          </w:p>
        </w:tc>
        <w:tc>
          <w:tcPr>
            <w:tcW w:w="2540" w:type="dxa"/>
            <w:vAlign w:val="top"/>
          </w:tcPr>
          <w:p>
            <w:pPr>
              <w:spacing w:before="0" w:after="0" w:line="408" w:lineRule="exact"/>
              <w:ind w:left="0" w:right="0" w:firstLine="0"/>
              <w:jc w:val="left"/>
            </w:pPr>
            <w:r>
              <w:rPr>
                <w:rFonts w:ascii="Times New Roman" w:hAnsi="Times New Roman"/>
                <w:sz w:val="20"/>
                <w:u w:val="single"/>
              </w:rPr>
              <w:t xml:space="preserve">RCW 46.17.040</w:t>
            </w:r>
          </w:p>
        </w:tc>
      </w:tr>
      <w:tr>
        <w:tc>
          <w:tcPr>
            <w:tcW w:w="2540" w:type="dxa"/>
            <w:vAlign w:val="top"/>
          </w:tcPr>
          <w:p>
            <w:pPr>
              <w:spacing w:before="0" w:after="0" w:line="408" w:lineRule="exact"/>
              <w:ind w:left="576" w:right="0" w:hanging="576"/>
              <w:jc w:val="left"/>
            </w:pPr>
            <w:r>
              <w:rPr>
                <w:rFonts w:ascii="Times New Roman" w:hAnsi="Times New Roman"/>
                <w:sz w:val="20"/>
                <w:u w:val="single"/>
              </w:rPr>
              <w:t xml:space="preserve">(n)</w:t>
            </w:r>
            <w:r>
              <w:rPr>
                <w:rFonts w:ascii="Times New Roman" w:hAnsi="Times New Roman"/>
                <w:sz w:val="20"/>
              </w:rPr>
              <w:t xml:space="preserve"> Title application</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t>((</w:t>
            </w:r>
            <w:r>
              <w:rPr>
                <w:rFonts w:ascii="Times New Roman" w:hAnsi="Times New Roman"/>
                <w:strike/>
                <w:sz w:val="20"/>
              </w:rPr>
              <w:t xml:space="preserve">(n)</w:t>
            </w:r>
            <w:r>
              <w:t>))</w:t>
            </w:r>
            <w:r>
              <w:rPr>
                <w:rFonts w:ascii="Times New Roman" w:hAnsi="Times New Roman"/>
                <w:sz w:val="20"/>
                <w:u w:val="single"/>
              </w:rPr>
              <w:t xml:space="preserve">(o)</w:t>
            </w:r>
            <w:r>
              <w:rPr>
                <w:rFonts w:ascii="Times New Roman" w:hAnsi="Times New Roman"/>
                <w:sz w:val="20"/>
              </w:rPr>
              <w:t xml:space="preserve"> Transfer</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88.02.560(7)</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t>((</w:t>
            </w:r>
            <w:r>
              <w:rPr>
                <w:rFonts w:ascii="Times New Roman" w:hAnsi="Times New Roman"/>
                <w:strike/>
                <w:sz w:val="20"/>
              </w:rPr>
              <w:t xml:space="preserve">(o)</w:t>
            </w:r>
            <w:r>
              <w:t>))</w:t>
            </w:r>
            <w:r>
              <w:rPr>
                <w:rFonts w:ascii="Times New Roman" w:hAnsi="Times New Roman"/>
                <w:sz w:val="20"/>
                <w:u w:val="single"/>
              </w:rPr>
              <w:t xml:space="preserve">(p)</w:t>
            </w:r>
            <w:r>
              <w:rPr>
                <w:rFonts w:ascii="Times New Roman" w:hAnsi="Times New Roman"/>
                <w:sz w:val="20"/>
              </w:rPr>
              <w:t xml:space="preserve"> Vessel visitor permit</w:t>
            </w:r>
          </w:p>
        </w:tc>
        <w:tc>
          <w:tcPr>
            <w:tcW w:w="2540" w:type="dxa"/>
            <w:vAlign w:val="top"/>
          </w:tcPr>
          <w:p>
            <w:pPr>
              <w:spacing w:before="0" w:after="0" w:line="408" w:lineRule="exact"/>
              <w:ind w:left="576" w:right="0" w:hanging="576"/>
              <w:jc w:val="left"/>
            </w:pPr>
            <w:r>
              <w:rPr>
                <w:rFonts w:ascii="Times New Roman" w:hAnsi="Times New Roman"/>
                <w:sz w:val="20"/>
              </w:rPr>
              <w:t xml:space="preserve">$30.00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88.02.610(3)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(6) of this  section</w:t>
            </w:r>
          </w:p>
        </w:tc>
      </w:tr>
    </w:tbl>
    <w:p>
      <w:pPr>
        <w:spacing w:before="120" w:after="0" w:line="408" w:lineRule="exact"/>
        <w:ind w:left="0" w:right="0" w:firstLine="576"/>
        <w:jc w:val="left"/>
      </w:pPr>
      <w:r>
        <w:rPr/>
        <w:t xml:space="preserve">(2) The five dollar dealer temporary permit fee required in subsection (1) of this section must be credited to the payment of registration fees at the time application for registration is made.</w:t>
      </w:r>
    </w:p>
    <w:p>
      <w:pPr>
        <w:spacing w:before="0" w:after="0" w:line="408" w:lineRule="exact"/>
        <w:ind w:left="0" w:right="0" w:firstLine="576"/>
        <w:jc w:val="left"/>
      </w:pPr>
      <w:r>
        <w:rPr/>
        <w:t xml:space="preserve">(3) The derelict vessel and invasive species removal fee required in subsection (1) of this section is five dollars and must be distributed as follows:</w:t>
      </w:r>
    </w:p>
    <w:p>
      <w:pPr>
        <w:spacing w:before="0" w:after="0" w:line="408" w:lineRule="exact"/>
        <w:ind w:left="0" w:right="0" w:firstLine="576"/>
        <w:jc w:val="left"/>
      </w:pPr>
      <w:r>
        <w:rPr/>
        <w:t xml:space="preserve">(a) One dollar and fifty cents must be deposited in the aquatic invasive species prevention account created in RCW 77.12.879;</w:t>
      </w:r>
    </w:p>
    <w:p>
      <w:pPr>
        <w:spacing w:before="0" w:after="0" w:line="408" w:lineRule="exact"/>
        <w:ind w:left="0" w:right="0" w:firstLine="576"/>
        <w:jc w:val="left"/>
      </w:pPr>
      <w:r>
        <w:rPr/>
        <w:t xml:space="preserve">(b) One dollar must be deposited into the aquatic algae control account created in RCW 43.21A.667;</w:t>
      </w:r>
    </w:p>
    <w:p>
      <w:pPr>
        <w:spacing w:before="0" w:after="0" w:line="408" w:lineRule="exact"/>
        <w:ind w:left="0" w:right="0" w:firstLine="576"/>
        <w:jc w:val="left"/>
      </w:pPr>
      <w:r>
        <w:rPr/>
        <w:t xml:space="preserve">(c) Fifty cents must be deposited into the aquatic invasive species enforcement account created in RCW 43.43.400; and</w:t>
      </w:r>
    </w:p>
    <w:p>
      <w:pPr>
        <w:spacing w:before="0" w:after="0" w:line="408" w:lineRule="exact"/>
        <w:ind w:left="0" w:right="0" w:firstLine="576"/>
        <w:jc w:val="left"/>
      </w:pPr>
      <w:r>
        <w:rPr/>
        <w:t xml:space="preserve">(d) Two dollars must be deposited in the derelict vessel removal account created in RCW 79.100.100.</w:t>
      </w:r>
    </w:p>
    <w:p>
      <w:pPr>
        <w:spacing w:before="0" w:after="0" w:line="408" w:lineRule="exact"/>
        <w:ind w:left="0" w:right="0" w:firstLine="576"/>
        <w:jc w:val="left"/>
      </w:pPr>
      <w:r>
        <w:rPr/>
        <w:t xml:space="preserve">(4) In addition to other fees required in this section, an annual derelict vessel removal surcharge of one dollar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spacing w:before="0" w:after="0" w:line="408" w:lineRule="exact"/>
        <w:ind w:left="0" w:right="0" w:firstLine="576"/>
        <w:jc w:val="left"/>
      </w:pPr>
      <w:r>
        <w:rPr/>
        <w:t xml:space="preserve">(5) The twenty-five dollar nonresident vessel permit fee must be paid by the vessel owner to the department for the cost of providing the identification document by the department. Any moneys remaining from the fee after the payment of costs must be allocated to counties by the state treasurer for approved boating safety programs under RCW 88.02.650.</w:t>
      </w:r>
    </w:p>
    <w:p>
      <w:pPr>
        <w:spacing w:before="0" w:after="0" w:line="408" w:lineRule="exact"/>
        <w:ind w:left="0" w:right="0" w:firstLine="576"/>
        <w:jc w:val="left"/>
      </w:pPr>
      <w:r>
        <w:rPr/>
        <w:t xml:space="preserve">(6) The thirty dollar vessel visitor permit fee must be distributed as follows:</w:t>
      </w:r>
    </w:p>
    <w:p>
      <w:pPr>
        <w:spacing w:before="0" w:after="0" w:line="408" w:lineRule="exact"/>
        <w:ind w:left="0" w:right="0" w:firstLine="576"/>
        <w:jc w:val="left"/>
      </w:pPr>
      <w:r>
        <w:rPr/>
        <w:t xml:space="preserve">(a) Five dollars must be deposited in the derelict vessel removal account created in RCW 79.100.100;</w:t>
      </w:r>
    </w:p>
    <w:p>
      <w:pPr>
        <w:spacing w:before="0" w:after="0" w:line="408" w:lineRule="exact"/>
        <w:ind w:left="0" w:right="0" w:firstLine="576"/>
        <w:jc w:val="left"/>
      </w:pPr>
      <w:r>
        <w:rPr/>
        <w:t xml:space="preserve">(b) The department may keep an amount to cover costs for providing the vessel visitor permit;</w:t>
      </w:r>
    </w:p>
    <w:p>
      <w:pPr>
        <w:spacing w:before="0" w:after="0" w:line="408" w:lineRule="exact"/>
        <w:ind w:left="0" w:right="0" w:firstLine="576"/>
        <w:jc w:val="left"/>
      </w:pPr>
      <w:r>
        <w:rPr/>
        <w:t xml:space="preserve">(c) Any moneys remaining must be allocated to counties by the state treasurer for approved boating safety programs under RCW 88.02.650; and</w:t>
      </w:r>
    </w:p>
    <w:p>
      <w:pPr>
        <w:spacing w:before="0" w:after="0" w:line="408" w:lineRule="exact"/>
        <w:ind w:left="0" w:right="0" w:firstLine="576"/>
        <w:jc w:val="left"/>
      </w:pPr>
      <w:r>
        <w:rPr/>
        <w:t xml:space="preserve">(d) Any fees required for licensing agents under RCW 46.17.005 are in addition to any other fee or tax due for the titling and registration of vessels.</w:t>
      </w:r>
    </w:p>
    <w:p>
      <w:pPr>
        <w:spacing w:before="0" w:after="0" w:line="408" w:lineRule="exact"/>
        <w:ind w:left="0" w:right="0" w:firstLine="576"/>
        <w:jc w:val="left"/>
      </w:pPr>
      <w:r>
        <w:rPr/>
        <w:t xml:space="preserve">(7)(a) The fifty dollar quick title service fee must be distributed as follows:</w:t>
      </w:r>
    </w:p>
    <w:p>
      <w:pPr>
        <w:spacing w:before="0" w:after="0" w:line="408" w:lineRule="exact"/>
        <w:ind w:left="0" w:right="0" w:firstLine="576"/>
        <w:jc w:val="left"/>
      </w:pPr>
      <w:r>
        <w:rPr/>
        <w:t xml:space="preserve">(i) If the fee is paid to the director, the fee must be deposited to the general fund.</w:t>
      </w:r>
    </w:p>
    <w:p>
      <w:pPr>
        <w:spacing w:before="0" w:after="0" w:line="408" w:lineRule="exact"/>
        <w:ind w:left="0" w:right="0" w:firstLine="576"/>
        <w:jc w:val="left"/>
      </w:pPr>
      <w:r>
        <w:rPr/>
        <w:t xml:space="preserve">(ii) If the fee is paid to the participating county auditor or other agent or subagent appointed by the director, twenty-five dollars must be deposited to the general fund. The remainder must be retained by the county treasurer in the same manner as other fees collected by the county auditor.</w:t>
      </w:r>
    </w:p>
    <w:p>
      <w:pPr>
        <w:spacing w:before="0" w:after="0" w:line="408" w:lineRule="exact"/>
        <w:ind w:left="0" w:right="0" w:firstLine="576"/>
        <w:jc w:val="left"/>
      </w:pPr>
      <w:r>
        <w:rPr/>
        <w:t xml:space="preserve">(b) For the purposes of this subsection, "quick title" has the same meaning as in RCW 88.02.540.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vessel registrations that are due or become due on or after January 1, 2016, and certificate of title transactions that are processed on or after January 1, 2016.</w:t>
      </w:r>
    </w:p>
    <w:p/>
    <w:p>
      <w:pPr>
        <w:jc w:val="center"/>
      </w:pPr>
      <w:r>
        <w:rPr>
          <w:b/>
        </w:rPr>
        <w:t>--- END ---</w:t>
      </w:r>
    </w:p>
    <w:sectPr>
      <w:pgNumType w:start="1"/>
      <w:footerReference xmlns:r="http://schemas.openxmlformats.org/officeDocument/2006/relationships" r:id="R02bd81739a5247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308786a54f44e6" /><Relationship Type="http://schemas.openxmlformats.org/officeDocument/2006/relationships/footer" Target="/word/footer.xml" Id="R02bd81739a524704" /></Relationships>
</file>