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a7dbcf257e4fe5" /></Relationships>
</file>

<file path=word/document.xml><?xml version="1.0" encoding="utf-8"?>
<w:document xmlns:w="http://schemas.openxmlformats.org/wordprocessingml/2006/main">
  <w:body>
    <w:p>
      <w:r>
        <w:t>Z-0120.4</w:t>
      </w:r>
    </w:p>
    <w:p>
      <w:pPr>
        <w:jc w:val="center"/>
      </w:pPr>
      <w:r>
        <w:t>_______________________________________________</w:t>
      </w:r>
    </w:p>
    <w:p/>
    <w:p>
      <w:pPr>
        <w:jc w:val="center"/>
      </w:pPr>
      <w:r>
        <w:rPr>
          <w:b/>
        </w:rPr>
        <w:t>SENATE BILL 5400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and Hasegawa; by request of Liquor Control Board</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temporary additional fee on licenses and permits issued by the Washington state liquor control board; adding a new section to chapter 66.08 RCW; creating new sections;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nonrefundable additional fee is imposed on all applications and renewals of licenses and permits relating to spirits, wine, and beer required under chapters 66.20 and 66.24 RCW, with the exception of license issuance fees of seventeen percent of revenues owed by spirits retail licensees under RCW 66.24.630(4)(a), and the five to ten percent license issuance fee for spirits distributors under RCW 66.24.055(3). The fee applies to all applications and license modifications received on or after the effective date of this section and renewals where the date of license expiration is on or after June 30, 2015. The fee is equal to eleven percent of the licensing or permit fee due under chapters 66.20 and 66.24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a nonrefundable additional fee is imposed on all applications and renewals of licenses relating to marijuana required under chapter 69.50 RCW. The fee applies to all applications and license modifications received on or after the effective date of this section and renewals where the date of license expiration is on or after June 30, 2015. The fee is equal to eleven percent of the licensing or permit fee otherwise due under chapter 69.50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licensing and enforcement system modernization project account is created in the custody of the state treasurer. All receipts from sections 1 and 2 of this act must be deposited into the account. Expenditures from the account may be only used for the expenses of replacing and modernizing the board's licensing, enforcement, and imaging system. The expenditures may be expended for automation of licenses and permits, electronic payments, data warehousing, project management and system testing, consulting, contracting, and staff time, and any necessary data conversion, software, hardware, and related equipment costs. Only the director of the board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15, 2015.</w:t>
      </w:r>
    </w:p>
    <w:p/>
    <w:p>
      <w:pPr>
        <w:jc w:val="center"/>
      </w:pPr>
      <w:r>
        <w:rPr>
          <w:b/>
        </w:rPr>
        <w:t>--- END ---</w:t>
      </w:r>
    </w:p>
    <w:sectPr>
      <w:pgNumType w:start="1"/>
      <w:footerReference xmlns:r="http://schemas.openxmlformats.org/officeDocument/2006/relationships" r:id="Rd2e882f6217c4c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4a96b64d774e5c" /><Relationship Type="http://schemas.openxmlformats.org/officeDocument/2006/relationships/footer" Target="/word/footer.xml" Id="Rd2e882f6217c4c04" /></Relationships>
</file>