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dff35e41fd4638" /></Relationships>
</file>

<file path=word/document.xml><?xml version="1.0" encoding="utf-8"?>
<w:document xmlns:w="http://schemas.openxmlformats.org/wordprocessingml/2006/main">
  <w:body>
    <w:p>
      <w:r>
        <w:t>S-0492.1</w:t>
      </w:r>
    </w:p>
    <w:p>
      <w:pPr>
        <w:jc w:val="center"/>
      </w:pPr>
      <w:r>
        <w:t>_______________________________________________</w:t>
      </w:r>
    </w:p>
    <w:p/>
    <w:p>
      <w:pPr>
        <w:jc w:val="center"/>
      </w:pPr>
      <w:r>
        <w:rPr>
          <w:b/>
        </w:rPr>
        <w:t>SENATE BILL 5382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Ericksen, Hatfield, Braun, Honeyford, and Benton</w:t>
      </w:r>
    </w:p>
    <w:p/>
    <w:p>
      <w:r>
        <w:rPr>
          <w:t xml:space="preserve">Read first time 01/21/15.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tax preferences for aluminum smelters; amending RCW 82.04.2909, 82.04.4481, 82.08.805, 82.12.805, and 82.12.022;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aluminum industry in Washington employs over one thousand people. The legislature further finds that average annual wages and benefits for these employment positions exceed one hundred thousand dollars and that each of these employment positions indirectly generates an additional two to three jobs within the state. The legislature further finds that the aluminum industry generates substantial taxes for local jurisdictions. The legislature further finds that the aluminum industry was severely impacted by the global economic recession. The legislature further finds that the London metal exchange, where aluminum is traded as a commodity, is extremely volatile and substantially impacts the profitability of the aluminum industry. The legislature further finds that for the aforementioned reasons, the industry continues to struggle with profitability, putting the continued employment of its Washington workforce in jeopardy.</w:t>
      </w:r>
    </w:p>
    <w:p>
      <w:pPr>
        <w:spacing w:before="0" w:after="0" w:line="408" w:lineRule="exact"/>
        <w:ind w:left="0" w:right="0" w:firstLine="576"/>
        <w:jc w:val="left"/>
      </w:pPr>
      <w:r>
        <w:rPr/>
        <w:t xml:space="preserve">(2)(a) This subsection is the tax preference performance statement for the aluminum industry tax preferences in RCW 82.04.2909, 82.04.4481, 82.08.805, 82.12.805, and 82.12.022, as amended in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this tax preference as one intended to accomplish the general purposes indicated in RCW 82.32.808(2) (c) and (d).</w:t>
      </w:r>
    </w:p>
    <w:p>
      <w:pPr>
        <w:spacing w:before="0" w:after="0" w:line="408" w:lineRule="exact"/>
        <w:ind w:left="0" w:right="0" w:firstLine="576"/>
        <w:jc w:val="left"/>
      </w:pPr>
      <w:r>
        <w:rPr/>
        <w:t xml:space="preserve">(c) It is the legislature's specific public policy objective to promote the preservation of employment positions within the Washington aluminum manufacturing industry as the industry continues to grapple with the lingering effects of the economic recession and the volatility of the London metal exchange.</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joint legislative audit and review committee must evaluate the changes in the number of statewide employment positions for the aluminum industry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2011 c 174 s 301 are each amended to read as follows:</w:t>
      </w:r>
    </w:p>
    <w:p>
      <w:pPr>
        <w:spacing w:before="0" w:after="0" w:line="408" w:lineRule="exact"/>
        <w:ind w:left="0" w:right="0" w:firstLine="576"/>
        <w:jc w:val="left"/>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spacing w:before="0" w:after="0" w:line="408" w:lineRule="exact"/>
        <w:ind w:left="0" w:right="0" w:firstLine="576"/>
        <w:jc w:val="left"/>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This section expires January 1, </w:t>
      </w:r>
      <w:r>
        <w:t>((</w:t>
      </w:r>
      <w:r>
        <w:rPr>
          <w:strike/>
        </w:rPr>
        <w:t xml:space="preserve">2017</w:t>
      </w:r>
      <w:r>
        <w:t>))</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2011 c 174 s 302 are each amended to read as follows:</w:t>
      </w:r>
    </w:p>
    <w:p>
      <w:pPr>
        <w:spacing w:before="0" w:after="0" w:line="408" w:lineRule="exact"/>
        <w:ind w:left="0" w:right="0" w:firstLine="576"/>
        <w:jc w:val="left"/>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 Credits may not be claimed under this section for property taxes levied for collection in </w:t>
      </w:r>
      <w:r>
        <w:t>((</w:t>
      </w:r>
      <w:r>
        <w:rPr>
          <w:strike/>
        </w:rPr>
        <w:t xml:space="preserve">2017</w:t>
      </w:r>
      <w:r>
        <w:t>))</w:t>
      </w:r>
      <w:r>
        <w:rPr>
          <w:u w:val="single"/>
        </w:rPr>
        <w:t xml:space="preserve">2027</w:t>
      </w:r>
      <w:r>
        <w:rPr/>
        <w:t xml:space="preserve"> and thereafter.</w:t>
      </w:r>
    </w:p>
    <w:p>
      <w:pPr>
        <w:spacing w:before="0" w:after="0" w:line="408" w:lineRule="exact"/>
        <w:ind w:left="0" w:right="0" w:firstLine="576"/>
        <w:jc w:val="left"/>
      </w:pPr>
      <w:r>
        <w:rPr/>
        <w:t xml:space="preserve">(4) A person claiming the credit provided in this section must file a complete annual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2011 c 174 s 303 are each amended to read as follows:</w:t>
      </w:r>
    </w:p>
    <w:p>
      <w:pPr>
        <w:spacing w:before="0" w:after="0" w:line="408" w:lineRule="exact"/>
        <w:ind w:left="0" w:right="0" w:firstLine="576"/>
        <w:jc w:val="left"/>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claiming the tax preference provided in this section must file a complete annual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w:t>
      </w:r>
      <w:r>
        <w:t>((</w:t>
      </w:r>
      <w:r>
        <w:rPr>
          <w:strike/>
        </w:rPr>
        <w:t xml:space="preserve">2017</w:t>
      </w:r>
      <w:r>
        <w:t>))</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2011 c 174 s 305 are each amended to read as follows:</w:t>
      </w:r>
    </w:p>
    <w:p>
      <w:pPr>
        <w:spacing w:before="0" w:after="0" w:line="408" w:lineRule="exact"/>
        <w:ind w:left="0" w:right="0" w:firstLine="576"/>
        <w:jc w:val="left"/>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"aluminum smelter" has the same meaning as provided in RCW 82.04.217.</w:t>
      </w:r>
    </w:p>
    <w:p>
      <w:pPr>
        <w:spacing w:before="0" w:after="0" w:line="408" w:lineRule="exact"/>
        <w:ind w:left="0" w:right="0" w:firstLine="576"/>
        <w:jc w:val="left"/>
      </w:pPr>
      <w:r>
        <w:rPr/>
        <w:t xml:space="preserve">(3) A person reporting under the tax rate provided in this section must file a complete annual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w:t>
      </w:r>
      <w:r>
        <w:t>((</w:t>
      </w:r>
      <w:r>
        <w:rPr>
          <w:strike/>
        </w:rPr>
        <w:t xml:space="preserve">2017</w:t>
      </w:r>
      <w:r>
        <w:t>))</w:t>
      </w:r>
      <w:r>
        <w:rPr>
          <w:u w:val="single"/>
        </w:rPr>
        <w:t xml:space="preserve">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2014 c 216 s 304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w:t>
      </w:r>
      <w:r>
        <w:t>((</w:t>
      </w:r>
      <w:r>
        <w:rPr>
          <w:strike/>
        </w:rPr>
        <w:t xml:space="preserve">2017</w:t>
      </w:r>
      <w:r>
        <w:t>))</w:t>
      </w:r>
      <w:r>
        <w:rPr>
          <w:u w:val="single"/>
        </w:rPr>
        <w:t xml:space="preserve">2027</w:t>
      </w:r>
      <w:r>
        <w:rPr/>
        <w:t xml:space="preserve">.</w:t>
      </w:r>
    </w:p>
    <w:p>
      <w:pPr>
        <w:spacing w:before="0" w:after="0" w:line="408" w:lineRule="exact"/>
        <w:ind w:left="0" w:right="0" w:firstLine="576"/>
        <w:jc w:val="left"/>
      </w:pPr>
      <w:r>
        <w:rPr/>
        <w:t xml:space="preserve">(b) A person claiming the exemption provided in this subsection (5) must file a complete annual report with the department under RCW 82.32.534.</w:t>
      </w:r>
    </w:p>
    <w:p>
      <w:pPr>
        <w:spacing w:before="0" w:after="0" w:line="408" w:lineRule="exact"/>
        <w:ind w:left="0" w:right="0" w:firstLine="576"/>
        <w:jc w:val="left"/>
      </w:pPr>
      <w:r>
        <w:rPr/>
        <w:t xml:space="preserve">(6) The tax imposed by this section does not apply to the use of natural gas, compressed natural gas, or liquefied natural gas, if the consumer uses the gas for transportation fuel as defined in RCW 82.16.310.</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
      <w:pPr>
        <w:jc w:val="center"/>
      </w:pPr>
      <w:r>
        <w:rPr>
          <w:b/>
        </w:rPr>
        <w:t>--- END ---</w:t>
      </w:r>
    </w:p>
    <w:sectPr>
      <w:pgNumType w:start="1"/>
      <w:footerReference xmlns:r="http://schemas.openxmlformats.org/officeDocument/2006/relationships" r:id="Re31261babdd94d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d40c29ab254557" /><Relationship Type="http://schemas.openxmlformats.org/officeDocument/2006/relationships/footer" Target="/word/footer.xml" Id="Re31261babdd94d64" /></Relationships>
</file>