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8c98f6d95478f" /></Relationships>
</file>

<file path=word/document.xml><?xml version="1.0" encoding="utf-8"?>
<w:document xmlns:w="http://schemas.openxmlformats.org/wordprocessingml/2006/main">
  <w:body>
    <w:p>
      <w:r>
        <w:t>S-1722.1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5343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Senate Transportation (originally sponsored by Senators Hasegawa, King, Jayapal, Chase, Rolfes, Keiser, Darneille, and Conway)</w:t>
      </w:r>
    </w:p>
    <w:p/>
    <w:p>
      <w:r>
        <w:rPr>
          <w:t xml:space="preserve">READ FIRST TIME 02/17/15.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parking impact mitigation from regional transit authority facility construction; adding a new section to chapter 81.112 RCW; and adding a new section to chapter 35.21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81</w:t>
      </w:r>
      <w:r>
        <w:rPr/>
        <w:t xml:space="preserve">.</w:t>
      </w:r>
      <w:r>
        <w:t xml:space="preserve">112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When an authority constructs or operates a transportation facility, it must consider the potential impacts of that facility on parking availability for residents nearby and develop mitigation strategies.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35</w:t>
      </w:r>
      <w:r>
        <w:rPr/>
        <w:t xml:space="preserve">.</w:t>
      </w:r>
      <w:r>
        <w:t xml:space="preserve">21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 city with a population of more than six hundred thousand that has implemented restricted parking zones in residential areas as a direct result of the parking impacts of a regional transit authority facility must: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Honor all requests for low-income restricted parking zone permits;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Charge no more than five dollars per year for low-income restricted parking zone permits;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Allow restricted parking zone permits for registered nonprofits located within a restricted parking zone.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2f73325c5a504bf4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5343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4a9e2169d459a" /><Relationship Type="http://schemas.openxmlformats.org/officeDocument/2006/relationships/footer" Target="/word/footer.xml" Id="R2f73325c5a504bf4" /></Relationships>
</file>