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d60cf04cd44d5" /></Relationships>
</file>

<file path=word/document.xml><?xml version="1.0" encoding="utf-8"?>
<w:document xmlns:w="http://schemas.openxmlformats.org/wordprocessingml/2006/main">
  <w:body>
    <w:p>
      <w:r>
        <w:t>S-1560.1</w:t>
      </w:r>
    </w:p>
    <w:p>
      <w:pPr>
        <w:jc w:val="center"/>
      </w:pPr>
      <w:r>
        <w:t>_______________________________________________</w:t>
      </w:r>
    </w:p>
    <w:p/>
    <w:p>
      <w:pPr>
        <w:jc w:val="center"/>
      </w:pPr>
      <w:r>
        <w:rPr>
          <w:b/>
        </w:rPr>
        <w:t>SUBSTITUTE SENATE BILL 5317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Frockt, Becker, Mullet, Miloscia, Jayapal, Dammeier, Kohl-Welles, Litzow, Pedersen, Hatfield, Keiser, Darneille, Rivers, McAuliffe, Hasegawa, Rolfes, Conway, and Chase)</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child health equity by requiring screening for autism and developmental delays for children in medical assistance programs; amending RCW 74.09.520;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bright futures guidelines issued by the American academy of pediatrics outline recommended well-child visit schedules and universal screening of children for autism and developmental delays. Private health plans established after March 2010 are required to comply with the bright futures guidelines as the standard for preventive services. The federal law does not require medicaid programs to follow the guidelines; however, thirty states completely cover the bright futures guidelines, six states cover all but one well-child screen, and six additional states cover all but developmental and autism screens as part of their medicaid programs.</w:t>
      </w:r>
    </w:p>
    <w:p>
      <w:pPr>
        <w:spacing w:before="0" w:after="0" w:line="408" w:lineRule="exact"/>
        <w:ind w:left="0" w:right="0" w:firstLine="576"/>
        <w:jc w:val="left"/>
      </w:pPr>
      <w:r>
        <w:rPr/>
        <w:t xml:space="preserve">(2) The 2012 Washington state legislature directed the Washington state institute for public policy to assess the costs and benefits of implementing the guidelines. The research indicates that fewer than half of children with developmental delays are identified before starting school and roughly half of children with autism spectrum disorder are diagnosed only after entering school, by which time significant delays may have occurred and opportunities for treatment may have been missed. Adopting the universal screening guidelines improves early diagnosis and enables early intervention with appropriate therapies and services. The annual cost to society for caring for children with autism or developmental delays can be significant, including cost of services, special education, informal care, and lost productivity. Early intervention and access to appropriate therapies mitigate long-term societal costs and improve the health and opportunity for the child.</w:t>
      </w:r>
    </w:p>
    <w:p>
      <w:pPr>
        <w:spacing w:before="0" w:after="0" w:line="408" w:lineRule="exact"/>
        <w:ind w:left="0" w:right="0" w:firstLine="576"/>
        <w:jc w:val="left"/>
      </w:pPr>
      <w:r>
        <w:rPr/>
        <w:t xml:space="preserve">(3) The more adverse experiences a child has, such as the burden of family economic hardship and social bias, the greater the likelihood of developmental delays and later health problems. Over forty-six percent of Washington's children have medicaid apple health for kids and have a much greater likelihood of reporting poor to very poor health compared to children who have commercial insurance. Disparities also exist in the diagnosis and initiation of treatment services for children of color. Research shows that children of color are diagnosed later and begin receiving early intervention services later. This health equity gap can be addressed by identifying and supporting children early through universal screening.</w:t>
      </w:r>
    </w:p>
    <w:p>
      <w:pPr>
        <w:spacing w:before="0" w:after="0" w:line="408" w:lineRule="exact"/>
        <w:ind w:left="0" w:right="0" w:firstLine="576"/>
        <w:jc w:val="left"/>
      </w:pPr>
      <w:r>
        <w:rPr/>
        <w:t xml:space="preserve">(4) Primary care providers currently see ninety-nine percent of children between birth and three years of age and are uniquely situated to access nearly all children with universal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2011 1st sp.s. c 15 s 27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u w:val="single"/>
        </w:rPr>
        <w:t xml:space="preserve">(8) Effective January 1, 2016, the authority shall require universal screening and provider payment for autism and developmental delays as recommended by the bright futures guidelines of the American academy of pediatrics, as they existed on the effective date of this section. This requirement is subject to the availability of funds.</w:t>
      </w:r>
    </w:p>
    <w:p/>
    <w:p>
      <w:pPr>
        <w:jc w:val="center"/>
      </w:pPr>
      <w:r>
        <w:rPr>
          <w:b/>
        </w:rPr>
        <w:t>--- END ---</w:t>
      </w:r>
    </w:p>
    <w:sectPr>
      <w:pgNumType w:start="1"/>
      <w:footerReference xmlns:r="http://schemas.openxmlformats.org/officeDocument/2006/relationships" r:id="R615f7a70a20a45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85aeec716a4f93" /><Relationship Type="http://schemas.openxmlformats.org/officeDocument/2006/relationships/footer" Target="/word/footer.xml" Id="R615f7a70a20a450d" /></Relationships>
</file>