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55464263fa44a1" /></Relationships>
</file>

<file path=word/document.xml><?xml version="1.0" encoding="utf-8"?>
<w:document xmlns:w="http://schemas.openxmlformats.org/wordprocessingml/2006/main">
  <w:body>
    <w:p>
      <w:r>
        <w:t>S-0334.2</w:t>
      </w:r>
    </w:p>
    <w:p>
      <w:pPr>
        <w:jc w:val="center"/>
      </w:pPr>
      <w:r>
        <w:t>_______________________________________________</w:t>
      </w:r>
    </w:p>
    <w:p/>
    <w:p>
      <w:pPr>
        <w:jc w:val="center"/>
      </w:pPr>
      <w:r>
        <w:rPr>
          <w:b/>
        </w:rPr>
        <w:t>SENATE BILL 5311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Rolfes, O'Ban, Frockt, Darneille, Keiser, McCoy, Kohl-Welles, Hasegawa, and Jayapal</w:t>
      </w:r>
    </w:p>
    <w:p/>
    <w:p>
      <w:r>
        <w:rPr>
          <w:t xml:space="preserve">Read first time 01/19/15.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crisis intervention training for peace officers; adding a new section to chapter 43.101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state, county, or municipal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law enforcement officers who are certified after July 1, 2017, complete a two-hour online crisis intervention course that is incorporated into the annual training required by the commission for all certified officers.</w:t>
      </w:r>
    </w:p>
    <w:p>
      <w:pPr>
        <w:spacing w:before="0" w:after="0" w:line="408" w:lineRule="exact"/>
        <w:ind w:left="0" w:right="0" w:firstLine="576"/>
        <w:jc w:val="left"/>
      </w:pPr>
      <w:r>
        <w:rPr/>
        <w:t xml:space="preserve">(b) Each full-time law enforcement officer certified before July 1, 2017, and employed by a state, county, or municipal law enforcement agency receives crisis intervention training by July 1, 2019.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aim for twenty-five percent of all currently certified law enforcement officers assigned to patrol duties to have received enhanced crisis intervention training by December 1, 2019. The training shall be comprised of forty hours of commission-certified training. Any appropriated funds shall be used to train personnel who will implement the training on a geographically diverse basis.</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law enforcement agencies with fewer than three hundred commissioned officers to assist with costs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law enforcement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Douglas M. Ostling act.</w:t>
      </w:r>
    </w:p>
    <w:p/>
    <w:p>
      <w:pPr>
        <w:jc w:val="center"/>
      </w:pPr>
      <w:r>
        <w:rPr>
          <w:b/>
        </w:rPr>
        <w:t>--- END ---</w:t>
      </w:r>
    </w:p>
    <w:sectPr>
      <w:pgNumType w:start="1"/>
      <w:footerReference xmlns:r="http://schemas.openxmlformats.org/officeDocument/2006/relationships" r:id="R4344b097edab4a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559167d6814ed8" /><Relationship Type="http://schemas.openxmlformats.org/officeDocument/2006/relationships/footer" Target="/word/footer.xml" Id="R4344b097edab4a90" /></Relationships>
</file>