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48a2e8ef964069" /></Relationships>
</file>

<file path=word/document.xml><?xml version="1.0" encoding="utf-8"?>
<w:document xmlns:w="http://schemas.openxmlformats.org/wordprocessingml/2006/main">
  <w:body>
    <w:p>
      <w:r>
        <w:t>Z-0270.1</w:t>
      </w:r>
    </w:p>
    <w:p>
      <w:pPr>
        <w:jc w:val="center"/>
      </w:pPr>
      <w:r>
        <w:t>_______________________________________________</w:t>
      </w:r>
    </w:p>
    <w:p/>
    <w:p>
      <w:pPr>
        <w:jc w:val="center"/>
      </w:pPr>
      <w:r>
        <w:rPr>
          <w:b/>
        </w:rPr>
        <w:t>SENATE BILL 5245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Kohl-Welles, McAuliffe, Angel, and Conway; by request of Department of Social and Health Services</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substance abuse prevention and treatment programs funded by the marijuana excise tax; amending RCW 69.50.540;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2013 c 3 s 28 (Initiative Measure No. 502) are each amended to read as follows:</w:t>
      </w:r>
    </w:p>
    <w:p>
      <w:pPr>
        <w:spacing w:before="0" w:after="0" w:line="408" w:lineRule="exact"/>
        <w:ind w:left="0" w:right="0" w:firstLine="576"/>
        <w:jc w:val="left"/>
      </w:pPr>
      <w:r>
        <w:rPr/>
        <w:t xml:space="preserve">All marijuana excise taxes collected from sales of marijuana, useable marijuana, and marijuana-infused products under RCW 69.50.535, and the license fees, penalties, and forfeitures derived under chapter 3, Laws of 2013 from marijuana producer, marijuana processor, and marijuana retailer licenses shall every three months be disbursed by the state liquor control board as follows:</w:t>
      </w:r>
    </w:p>
    <w:p>
      <w:pPr>
        <w:spacing w:before="0" w:after="0" w:line="408" w:lineRule="exact"/>
        <w:ind w:left="0" w:right="0" w:firstLine="576"/>
        <w:jc w:val="left"/>
      </w:pPr>
      <w:r>
        <w:rPr/>
        <w:t xml:space="preserve">(1)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control board. The survey shall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(2) Fifty thousand dollars to the department of social and health services for the purpose of contracting with the Washington state institute for public policy to conduct the cost-benefit evaluation and produce the reports described in RCW 69.50.550. This appropriation shall end after production of the final report required by RCW 69.50.550;</w:t>
      </w:r>
    </w:p>
    <w:p>
      <w:pPr>
        <w:spacing w:before="0" w:after="0" w:line="408" w:lineRule="exact"/>
        <w:ind w:left="0" w:right="0" w:firstLine="576"/>
        <w:jc w:val="left"/>
      </w:pPr>
      <w:r>
        <w:rPr/>
        <w:t xml:space="preserve">(3)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(4) An amount not exceeding one million two hundred fifty thousand dollars to the state liquor control board as is necessary for administration of chapter 3, Laws of 2013;</w:t>
      </w:r>
    </w:p>
    <w:p>
      <w:pPr>
        <w:spacing w:before="0" w:after="0" w:line="408" w:lineRule="exact"/>
        <w:ind w:left="0" w:right="0" w:firstLine="576"/>
        <w:jc w:val="left"/>
      </w:pPr>
      <w:r>
        <w:rPr/>
        <w:t xml:space="preserve">(5) Of the funds remaining after the disbursements identified in subsections (1) through (4) of this section:</w:t>
      </w:r>
    </w:p>
    <w:p>
      <w:pPr>
        <w:spacing w:before="0" w:after="0" w:line="408" w:lineRule="exact"/>
        <w:ind w:left="0" w:right="0" w:firstLine="576"/>
        <w:jc w:val="left"/>
      </w:pPr>
      <w:r>
        <w:rPr/>
        <w:t xml:space="preserve">(a) Fifteen percent to the department of social and health services division of behavioral health and recovery for </w:t>
      </w:r>
      <w:r>
        <w:rPr>
          <w:u w:val="single"/>
        </w:rPr>
        <w:t xml:space="preserve">the development,</w:t>
      </w:r>
      <w:r>
        <w:rPr/>
        <w:t xml:space="preserve"> implementation </w:t>
      </w:r>
      <w:r>
        <w:t>((</w:t>
      </w:r>
      <w:r>
        <w:rPr>
          <w:strike/>
        </w:rPr>
        <w:t xml:space="preserve">and</w:t>
      </w:r>
      <w:r>
        <w:t>))</w:t>
      </w:r>
      <w:r>
        <w:rPr>
          <w:u w:val="single"/>
        </w:rPr>
        <w:t xml:space="preserve">,</w:t>
      </w:r>
      <w:r>
        <w:rPr/>
        <w:t xml:space="preserve"> maintenance</w:t>
      </w:r>
      <w:r>
        <w:rPr>
          <w:u w:val="single"/>
        </w:rPr>
        <w:t xml:space="preserve">, and evaluation</w:t>
      </w:r>
      <w:r>
        <w:rPr/>
        <w:t xml:space="preserve"> of programs and practices aimed at the prevention or reduction of maladaptive substance use, substance-use disorder, substance abuse or substance dependence, as these terms are defined in the Diagnostic and Statistical Manual of Mental Disorders, among middle school and high school age students, whether as an explicit goal of a given program or practice or as a consistently corresponding effect of its implementation; PROVIDED, That:</w:t>
      </w:r>
    </w:p>
    <w:p>
      <w:pPr>
        <w:spacing w:before="0" w:after="0" w:line="408" w:lineRule="exact"/>
        <w:ind w:left="0" w:right="0" w:firstLine="576"/>
        <w:jc w:val="left"/>
      </w:pPr>
      <w:r>
        <w:rPr/>
        <w:t xml:space="preserve">(i) Of the funds disbursed under (a) of this subsection, at least eighty-five percent must be directed to evidence-based </w:t>
      </w:r>
      <w:r>
        <w:t>((</w:t>
      </w:r>
      <w:r>
        <w:rPr>
          <w:strike/>
        </w:rPr>
        <w:t xml:space="preserve">and cost-beneficial</w:t>
      </w:r>
      <w:r>
        <w:t>))</w:t>
      </w:r>
      <w:r>
        <w:rPr/>
        <w:t xml:space="preserve"> programs and practices that produce objectively measurable results </w:t>
      </w:r>
      <w:r>
        <w:rPr>
          <w:u w:val="single"/>
        </w:rPr>
        <w:t xml:space="preserve">and, by September 1, 2020, are cost-beneficial</w:t>
      </w:r>
      <w:r>
        <w:rPr/>
        <w:t xml:space="preserve">; and</w:t>
      </w:r>
    </w:p>
    <w:p>
      <w:pPr>
        <w:spacing w:before="0" w:after="0" w:line="408" w:lineRule="exact"/>
        <w:ind w:left="0" w:right="0" w:firstLine="576"/>
        <w:jc w:val="left"/>
      </w:pPr>
      <w:r>
        <w:rPr/>
        <w:t xml:space="preserve">(ii) Up to fifteen percent of the funds disbursed under (a) of this subsection may be directed to research-based and emerging best practices or promising practices.</w:t>
      </w:r>
    </w:p>
    <w:p>
      <w:pPr>
        <w:spacing w:before="0" w:after="0" w:line="408" w:lineRule="exact"/>
        <w:ind w:left="0" w:right="0" w:firstLine="576"/>
        <w:jc w:val="left"/>
      </w:pPr>
      <w:r>
        <w:rPr/>
        <w:t xml:space="preserve">In deciding which programs and practices to fund, the secretary of the department of social and health services shall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(b) Ten percent to the department of health for the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(c)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 Three-tenths of one percent to the office of the superintendent of public instruction to fund grants to building bridges programs under chapter 28A.175 RCW; and</w:t>
      </w:r>
    </w:p>
    <w:p>
      <w:pPr>
        <w:spacing w:before="0" w:after="0" w:line="408" w:lineRule="exact"/>
        <w:ind w:left="0" w:right="0" w:firstLine="576"/>
        <w:jc w:val="left"/>
      </w:pPr>
      <w:r>
        <w:rPr/>
        <w:t xml:space="preserve">(g) The remainder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in consultation with the Washington state institute for public policy, the University of Washington social development research group, and faculty from Washington State University, must determine a definition of cost-beneficial as it relates to prevention and treatment programming and submit a report to the legislature on its findings by December 1, 2017.</w:t>
      </w:r>
    </w:p>
    <w:p/>
    <w:p>
      <w:pPr>
        <w:jc w:val="center"/>
      </w:pPr>
      <w:r>
        <w:rPr>
          <w:b/>
        </w:rPr>
        <w:t>--- END ---</w:t>
      </w:r>
    </w:p>
    <w:sectPr>
      <w:pgNumType w:start="1"/>
      <w:footerReference xmlns:r="http://schemas.openxmlformats.org/officeDocument/2006/relationships" r:id="R866aa4a57cf04e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1d756aa18c49f4" /><Relationship Type="http://schemas.openxmlformats.org/officeDocument/2006/relationships/footer" Target="/word/footer.xml" Id="R866aa4a57cf04ead" /></Relationships>
</file>