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a0dfef5aab47ea" /></Relationships>
</file>

<file path=word/document.xml><?xml version="1.0" encoding="utf-8"?>
<w:document xmlns:w="http://schemas.openxmlformats.org/wordprocessingml/2006/main">
  <w:body>
    <w:p>
      <w:r>
        <w:t>S-0722.1</w:t>
      </w:r>
    </w:p>
    <w:p>
      <w:pPr>
        <w:jc w:val="center"/>
      </w:pPr>
      <w:r>
        <w:t>_______________________________________________</w:t>
      </w:r>
    </w:p>
    <w:p/>
    <w:p>
      <w:pPr>
        <w:jc w:val="center"/>
      </w:pPr>
      <w:r>
        <w:rPr>
          <w:b/>
        </w:rPr>
        <w:t>SENATE BILL 5236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and Rivers</w:t>
      </w:r>
    </w:p>
    <w:p/>
    <w:p>
      <w:r>
        <w:rPr>
          <w:t xml:space="preserve">Read first time 01/16/15.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ratification of budgets for certain homeowners' associations; and amending RCW 64.38.025.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025</w:t>
      </w:r>
      <w:r>
        <w:rPr/>
        <w:t xml:space="preserve"> and 2011 c 189 s 8 are each amended to read as follows:</w:t>
      </w:r>
    </w:p>
    <w:p>
      <w:pPr>
        <w:spacing w:before="0" w:after="0" w:line="408" w:lineRule="exact"/>
        <w:ind w:left="0" w:right="0" w:firstLine="576"/>
        <w:jc w:val="left"/>
      </w:pPr>
      <w:r>
        <w:rPr/>
        <w:t xml:space="preserve">(1) Except as provided in the association's governing documents or this chapter, the board of directors shall act in all instances on behalf of the association. In the performance of their duties, the officers and members of the board of directors shall exercise the degree of care and loyalty required of an officer or director of a corporation organized under chapter 24.03 RCW.</w:t>
      </w:r>
    </w:p>
    <w:p>
      <w:pPr>
        <w:spacing w:before="0" w:after="0" w:line="408" w:lineRule="exact"/>
        <w:ind w:left="0" w:right="0" w:firstLine="576"/>
        <w:jc w:val="left"/>
      </w:pPr>
      <w:r>
        <w:rPr/>
        <w:t xml:space="preserve">(2) The board of directors shall not act on behalf of the association to amend the articles of incorporation, to take any action that requires the vote or approval of the owners, to terminate the association, to elect members of the board of directors, or to determine the qualifications, powers, and duties, or terms of office of members of the board of directors; but the board of directors may fill vacancies in its membership of the unexpired portion of any term.</w:t>
      </w:r>
    </w:p>
    <w:p>
      <w:pPr>
        <w:spacing w:before="0" w:after="0" w:line="408" w:lineRule="exact"/>
        <w:ind w:left="0" w:right="0" w:firstLine="576"/>
        <w:jc w:val="left"/>
      </w:pPr>
      <w:r>
        <w:rPr/>
        <w:t xml:space="preserve">(3) Within thirty days after adoption by the board of directors of any proposed regular or special budget of the association, the board shall set a date for a meeting of the owners to consider ratification of the budget not less than fourteen nor more than sixty days after mailing of the summary. </w:t>
      </w:r>
      <w:r>
        <w:t>((</w:t>
      </w:r>
      <w:r>
        <w:rPr>
          <w:strike/>
        </w:rPr>
        <w:t xml:space="preserve">Unless at that meeting the owners of a majority of the votes in the association are allocated or any larger percentage specified in the governing documents reject the budget, in person or by proxy, the budget is ratified, whether or not a quorum is present</w:t>
      </w:r>
      <w:r>
        <w:t>))</w:t>
      </w:r>
      <w:r>
        <w:rPr>
          <w:u w:val="single"/>
        </w:rPr>
        <w:t xml:space="preserve">At the meeting to consider ratification of the budget, for associations with membership of two thousand or more, the budget must be ratified or rejected by a majority of votes cast by members in person or by proxy</w:t>
      </w:r>
      <w:r>
        <w:rPr/>
        <w:t xml:space="preserve">. In the event the proposed budget is rejected or the required notice is not given, the periodic budget last ratified by the owners shall be continued until such time as the owners ratify a subsequent budget proposed by the board of directors.</w:t>
      </w:r>
    </w:p>
    <w:p>
      <w:pPr>
        <w:spacing w:before="0" w:after="0" w:line="408" w:lineRule="exact"/>
        <w:ind w:left="0" w:right="0" w:firstLine="576"/>
        <w:jc w:val="left"/>
      </w:pPr>
      <w:r>
        <w:rPr/>
        <w:t xml:space="preserve">(4) As part of the summary of the budget provided to all owners, the board of directors shall disclose to the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owner per month or year, and the purpose of the assessments;</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owner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 The owners by a majority vote of the voting power in the association present, in person or by proxy, and entitled to vote at any meeting of the owners at which a quorum is present, may remove any member of the board of directors with or without cause.</w:t>
      </w:r>
    </w:p>
    <w:p/>
    <w:p>
      <w:pPr>
        <w:jc w:val="center"/>
      </w:pPr>
      <w:r>
        <w:rPr>
          <w:b/>
        </w:rPr>
        <w:t>--- END ---</w:t>
      </w:r>
    </w:p>
    <w:sectPr>
      <w:pgNumType w:start="1"/>
      <w:footerReference xmlns:r="http://schemas.openxmlformats.org/officeDocument/2006/relationships" r:id="R87133497b44546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af7d6c51b24ccc" /><Relationship Type="http://schemas.openxmlformats.org/officeDocument/2006/relationships/footer" Target="/word/footer.xml" Id="R87133497b44546ff" /></Relationships>
</file>