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2b11a447fb47e9" /></Relationships>
</file>

<file path=word/document.xml><?xml version="1.0" encoding="utf-8"?>
<w:document xmlns:w="http://schemas.openxmlformats.org/wordprocessingml/2006/main">
  <w:body>
    <w:p>
      <w:r>
        <w:t>S-0237.1</w:t>
      </w:r>
    </w:p>
    <w:p>
      <w:pPr>
        <w:jc w:val="center"/>
      </w:pPr>
      <w:r>
        <w:t>_______________________________________________</w:t>
      </w:r>
    </w:p>
    <w:p/>
    <w:p>
      <w:pPr>
        <w:jc w:val="center"/>
      </w:pPr>
      <w:r>
        <w:rPr>
          <w:b/>
        </w:rPr>
        <w:t>SENATE BILL 5218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and Benton</w:t>
      </w:r>
    </w:p>
    <w:p/>
    <w:p>
      <w:r>
        <w:rPr>
          <w:t xml:space="preserve">Read first time 01/15/15.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detainer actions for at-will tenancies; and amending RCW 59.12.030.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guilty of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in behalf of the person entitled to the rent upon the person owing it, has remained uncomplied with for the period of three days after service thereof. The notice may be served at any time after the rent becomes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w:t>
      </w:r>
      <w:r>
        <w:t>((</w:t>
      </w:r>
      <w:r>
        <w:rPr>
          <w:strike/>
        </w:rPr>
        <w:t xml:space="preserve">or</w:t>
      </w:r>
      <w:r>
        <w:t>))</w:t>
      </w:r>
    </w:p>
    <w:p>
      <w:pPr>
        <w:spacing w:before="0" w:after="0" w:line="408" w:lineRule="exact"/>
        <w:ind w:left="0" w:right="0" w:firstLine="576"/>
        <w:jc w:val="left"/>
      </w:pPr>
      <w:r>
        <w:rPr/>
        <w:t xml:space="preserve">(7) When he or she commits or permits any gang-related activity at the premises as prohibited by RCW 59.18.130</w:t>
      </w:r>
      <w:r>
        <w:rPr>
          <w:u w:val="single"/>
        </w:rPr>
        <w:t xml:space="preserve">; or</w:t>
      </w:r>
    </w:p>
    <w:p>
      <w:pPr>
        <w:spacing w:before="0" w:after="0" w:line="408" w:lineRule="exact"/>
        <w:ind w:left="0" w:right="0" w:firstLine="576"/>
        <w:jc w:val="left"/>
      </w:pPr>
      <w:r>
        <w:rPr>
          <w:u w:val="single"/>
        </w:rPr>
        <w:t xml:space="preserve">(8) When he or she occupies real property with the prior consent of the owner but without a denominated rental amount or designated period of tenancy on an at-will basis, and he or she fails to remove from the premises after thirty days' notice in writing served upon him or her in the manner provided by RCW 59.12.040. This subsection does not apply to housing for seasonal agricultural employees while provided in conjunction with such employment. The doubling of damages set forth in RCW 59.12.170 does not apply to this subsection</w:t>
      </w:r>
      <w:r>
        <w:rPr/>
        <w:t xml:space="preserve">.</w:t>
      </w:r>
    </w:p>
    <w:p/>
    <w:p>
      <w:pPr>
        <w:jc w:val="center"/>
      </w:pPr>
      <w:r>
        <w:rPr>
          <w:b/>
        </w:rPr>
        <w:t>--- END ---</w:t>
      </w:r>
    </w:p>
    <w:sectPr>
      <w:pgNumType w:start="1"/>
      <w:footerReference xmlns:r="http://schemas.openxmlformats.org/officeDocument/2006/relationships" r:id="R69f05f247c614e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0146cd04974029" /><Relationship Type="http://schemas.openxmlformats.org/officeDocument/2006/relationships/footer" Target="/word/footer.xml" Id="R69f05f247c614e69" /></Relationships>
</file>