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d751c5bd04f88" /></Relationships>
</file>

<file path=word/document.xml><?xml version="1.0" encoding="utf-8"?>
<w:document xmlns:w="http://schemas.openxmlformats.org/wordprocessingml/2006/main">
  <w:body>
    <w:p>
      <w:r>
        <w:t>S-0440.1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5213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Warnick, Braun, and Kohl-Welles</w:t>
      </w:r>
    </w:p>
    <w:p/>
    <w:p>
      <w:r>
        <w:rPr>
          <w:t xml:space="preserve">Read first time 01/15/15.  </w:t>
        </w:rPr>
      </w:r>
      <w:r>
        <w:rPr>
          <w:t xml:space="preserve">Referred to Committee on Commerce &amp; Labor.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allowing sales of growlers of wine; and amending RCW 66.28.360.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66</w:t>
      </w:r>
      <w:r>
        <w:rPr/>
        <w:t xml:space="preserve">.</w:t>
      </w:r>
      <w:r>
        <w:t xml:space="preserve">28</w:t>
      </w:r>
      <w:r>
        <w:rPr/>
        <w:t xml:space="preserve">.</w:t>
      </w:r>
      <w:r>
        <w:t xml:space="preserve">360</w:t>
      </w:r>
      <w:r>
        <w:rPr/>
        <w:t xml:space="preserve"> and 2014 c 54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Licensees holding either a license that permits or a license with an endorsement that permits the sale of beer to a purchaser in a container supplied by the licensee or a sanitary container brought to the premises by the purchaser and filled at the tap at the time of sale may similarly sell cider </w:t>
      </w:r>
      <w:r>
        <w:rPr>
          <w:u w:val="single"/>
        </w:rPr>
        <w:t xml:space="preserve">and other wine except fortified wine</w:t>
      </w:r>
      <w:r>
        <w:rPr/>
        <w:t xml:space="preserve"> to a purchaser in such a container. Nothing in this section relieves a licensee from complying with federal law.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purposes of this section, "cider" has the same meaning as in RCW 66.24.210(6).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d09ebd694474d1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5213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f6fb439334e88" /><Relationship Type="http://schemas.openxmlformats.org/officeDocument/2006/relationships/footer" Target="/word/footer.xml" Id="Rad09ebd694474d18" /></Relationships>
</file>