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3f53e0a6a84742" /></Relationships>
</file>

<file path=word/document.xml><?xml version="1.0" encoding="utf-8"?>
<w:document xmlns:w="http://schemas.openxmlformats.org/wordprocessingml/2006/main">
  <w:body>
    <w:p>
      <w:r>
        <w:t>S-2147.1</w:t>
      </w:r>
    </w:p>
    <w:p>
      <w:pPr>
        <w:jc w:val="center"/>
      </w:pPr>
      <w:r>
        <w:t>_______________________________________________</w:t>
      </w:r>
    </w:p>
    <w:p/>
    <w:p>
      <w:pPr>
        <w:jc w:val="center"/>
      </w:pPr>
      <w:r>
        <w:rPr>
          <w:b/>
        </w:rPr>
        <w:t>SUBSTITUTE SENATE BILL 5186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Benton, Hasegawa, Sheldon, and Keiser)</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tax exemptions for service-connected disabled veterans and senior citizens; amending RCW 84.36.381 and 84.38.030;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(2) It is the legislature's specific public policy objective to provide tax relief to senior citizens, disabled persons, and veterans. The legislature recognizes that property taxes impose a substantial financial burden on those with fixed incomes and that property tax relief programs have considerable value in addressing this burden. It is the legislature's intent to increase the current statutory static income thresholds which were last modified in 2004.</w:t>
      </w:r>
    </w:p>
    <w:p>
      <w:pPr>
        <w:spacing w:before="0" w:after="0" w:line="408" w:lineRule="exact"/>
        <w:ind w:left="0" w:right="0" w:firstLine="576"/>
        <w:jc w:val="left"/>
      </w:pPr>
      <w:r>
        <w:rPr/>
        <w:t xml:space="preserve">(3) The expansion of the items allowed to be deducted is meant to be permanent and, therefore, not subject to the ten-year expiration provision in RCW 82.32.805(1)(a).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2012 c 10 s 73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of </w:t>
      </w:r>
      <w:r>
        <w:t>((</w:t>
      </w:r>
      <w:r>
        <w:rPr>
          <w:strike/>
        </w:rPr>
        <w:t xml:space="preserve">thirty-five</w:t>
      </w:r>
      <w:r>
        <w:t>))</w:t>
      </w:r>
      <w:r>
        <w:rPr/>
        <w:t xml:space="preserve"> </w:t>
      </w:r>
      <w:r>
        <w:rPr>
          <w:u w:val="single"/>
        </w:rPr>
        <w:t xml:space="preserve">forty</w:t>
      </w:r>
      <w:r>
        <w:rPr/>
        <w:t xml:space="preserve"> thousand dollars or less is exempt from all excess property taxes; and</w:t>
      </w:r>
    </w:p>
    <w:p>
      <w:pPr>
        <w:spacing w:before="0" w:after="0" w:line="408" w:lineRule="exact"/>
        <w:ind w:left="0" w:right="0" w:firstLine="576"/>
        <w:jc w:val="left"/>
      </w:pPr>
      <w:r>
        <w:rPr/>
        <w:t xml:space="preserve">(b)(i) A person who otherwise qualifies under this section and has a combined disposable income of </w:t>
      </w:r>
      <w:r>
        <w:t>((</w:t>
      </w:r>
      <w:r>
        <w:rPr>
          <w:strike/>
        </w:rPr>
        <w:t xml:space="preserve">thirty</w:t>
      </w:r>
      <w:r>
        <w:t>))</w:t>
      </w:r>
      <w:r>
        <w:rPr/>
        <w:t xml:space="preserve"> </w:t>
      </w:r>
      <w:r>
        <w:rPr>
          <w:u w:val="single"/>
        </w:rPr>
        <w:t xml:space="preserve">thirty-five</w:t>
      </w:r>
      <w:r>
        <w:rPr/>
        <w:t xml:space="preserve"> thousand dollars or less but greater than </w:t>
      </w:r>
      <w:r>
        <w:t>((</w:t>
      </w:r>
      <w:r>
        <w:rPr>
          <w:strike/>
        </w:rPr>
        <w:t xml:space="preserve">twenty-five</w:t>
      </w:r>
      <w:r>
        <w:t>))</w:t>
      </w:r>
      <w:r>
        <w:rPr/>
        <w:t xml:space="preserve"> </w:t>
      </w:r>
      <w:r>
        <w:rPr>
          <w:u w:val="single"/>
        </w:rPr>
        <w:t xml:space="preserve">thirty</w:t>
      </w:r>
      <w:r>
        <w:rPr/>
        <w:t xml:space="preserve"> thousand dollars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of </w:t>
      </w:r>
      <w:r>
        <w:t>((</w:t>
      </w:r>
      <w:r>
        <w:rPr>
          <w:strike/>
        </w:rPr>
        <w:t xml:space="preserve">twenty-five</w:t>
      </w:r>
      <w:r>
        <w:t>))</w:t>
      </w:r>
      <w:r>
        <w:rPr/>
        <w:t xml:space="preserve"> </w:t>
      </w:r>
      <w:r>
        <w:rPr>
          <w:u w:val="single"/>
        </w:rPr>
        <w:t xml:space="preserve">thirty</w:t>
      </w:r>
      <w:r>
        <w:rPr/>
        <w:t xml:space="preserve"> thousand dollars or less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of </w:t>
      </w:r>
      <w:r>
        <w:t>((</w:t>
      </w:r>
      <w:r>
        <w:rPr>
          <w:strike/>
        </w:rPr>
        <w:t xml:space="preserve">thirty-five</w:t>
      </w:r>
      <w:r>
        <w:t>))</w:t>
      </w:r>
      <w:r>
        <w:rPr/>
        <w:t xml:space="preserve"> </w:t>
      </w:r>
      <w:r>
        <w:rPr>
          <w:u w:val="single"/>
        </w:rPr>
        <w:t xml:space="preserve">forty</w:t>
      </w:r>
      <w:r>
        <w:rPr/>
        <w:t xml:space="preserve"> thousand dollars or less,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2008 c 6 s 702 are each amended to read as follows:</w:t>
      </w:r>
    </w:p>
    <w:p>
      <w:pPr>
        <w:spacing w:before="0" w:after="0" w:line="408" w:lineRule="exact"/>
        <w:ind w:left="0" w:right="0" w:firstLine="576"/>
        <w:jc w:val="left"/>
      </w:pPr>
      <w:r>
        <w:rPr/>
        <w:t xml:space="preserve">A claimant may defer payment of special assessments and/or real property taxes on up to eighty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sixty years of age or older on December 31st of the year in which the deferral claim is filed, or must have been, at the time of filing, retired from regular gainful employment by reason of physical disability</w:t>
      </w:r>
      <w:r>
        <w:t>((</w:t>
      </w:r>
      <w:r>
        <w:rPr>
          <w:strike/>
        </w:rPr>
        <w:t xml:space="preserve">: PROVIDED, That</w:t>
      </w:r>
      <w:r>
        <w:t>))</w:t>
      </w:r>
      <w:r>
        <w:rPr>
          <w:u w:val="single"/>
        </w:rPr>
        <w:t xml:space="preserve">. However,</w:t>
      </w:r>
      <w:r>
        <w:rPr/>
        <w:t xml:space="preserve"> any surviving spouse or surviving domestic partner of a person who was receiving a deferral at the time of the person's death shall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(3) The claimant must have a combined disposable income, as defined in RCW 84.36.383, of </w:t>
      </w:r>
      <w:r>
        <w:t>((</w:t>
      </w:r>
      <w:r>
        <w:rPr>
          <w:strike/>
        </w:rPr>
        <w:t xml:space="preserve">forty</w:t>
      </w:r>
      <w:r>
        <w:t>))</w:t>
      </w:r>
      <w:r>
        <w:rPr/>
        <w:t xml:space="preserve"> </w:t>
      </w:r>
      <w:r>
        <w:rPr>
          <w:u w:val="single"/>
        </w:rPr>
        <w:t xml:space="preserve">forty-five</w:t>
      </w:r>
      <w:r>
        <w:rPr/>
        <w:t xml:space="preserve"> thousand dollars or less.</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shall be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 PROVIDED, That if the claimant fails to keep fire and casualty insurance in force to the extent of the state's interest in the claimant's equity value, the amount deferred shall not exceed one hundred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2016 and thereafter.</w:t>
      </w:r>
    </w:p>
    <w:p/>
    <w:p>
      <w:pPr>
        <w:jc w:val="center"/>
      </w:pPr>
      <w:r>
        <w:rPr>
          <w:b/>
        </w:rPr>
        <w:t>--- END ---</w:t>
      </w:r>
    </w:p>
    <w:sectPr>
      <w:pgNumType w:start="1"/>
      <w:footerReference xmlns:r="http://schemas.openxmlformats.org/officeDocument/2006/relationships" r:id="Re7603a6b4b1249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98fb77fe204936" /><Relationship Type="http://schemas.openxmlformats.org/officeDocument/2006/relationships/footer" Target="/word/footer.xml" Id="Re7603a6b4b1249cf" /></Relationships>
</file>