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20ec94a66740a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SENATE BILL 5177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and Darneille; by request of Department of Social and Health Services)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forensic mental health services; amending RCW 10.77.084, 10.77.086, 10.77.088, 10.77.073, 10.77.220, 71.05.235, and 10.77.065; reenacting and amending RCW 10.77.065; adding new sections to chapter 10.77 RCW; creating new sections;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w:t>
      </w:r>
    </w:p>
    <w:p>
      <w:pPr>
        <w:spacing w:before="0" w:after="0" w:line="408" w:lineRule="exact"/>
        <w:ind w:left="0" w:right="0" w:firstLine="576"/>
        <w:jc w:val="left"/>
      </w:pPr>
      <w:r>
        <w:rPr/>
        <w:t xml:space="preserve">(2) The department of social and health services shall work with counties and the court to develop a screening process to determine which individuals are safe to receive competency restoration treatment outside the state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Within twenty-four hours of the signing of a court order requesting the secretary to provide a competency evaluation or competency restoration treatment:</w:t>
      </w:r>
    </w:p>
    <w:p>
      <w:pPr>
        <w:spacing w:before="0" w:after="0" w:line="408" w:lineRule="exact"/>
        <w:ind w:left="0" w:right="0" w:firstLine="576"/>
        <w:jc w:val="left"/>
      </w:pPr>
      <w:r>
        <w:rPr/>
        <w:t xml:space="preserve">(1) The clerk of the court shall provide the court order and the charging documents, including the request for bail and certification of probable cause, to the state hospital. If the order is for competency restoration treatment and the competency evaluation was provided by a qualified expert or professional person who was not designated by the secretary, the clerk shall also provide the state hospital with a copy of all previous court orders related to competency or criminal insanity and a copy of any of the evaluation reports;</w:t>
      </w:r>
    </w:p>
    <w:p>
      <w:pPr>
        <w:spacing w:before="0" w:after="0" w:line="408" w:lineRule="exact"/>
        <w:ind w:left="0" w:right="0" w:firstLine="576"/>
        <w:jc w:val="left"/>
      </w:pPr>
      <w:r>
        <w:rPr/>
        <w:t xml:space="preserve">(2) The prosecuting attorney shall provide the discovery packet, including a statement of the defendant's criminal history, to the state hospital; and</w:t>
      </w:r>
    </w:p>
    <w:p>
      <w:pPr>
        <w:spacing w:before="0" w:after="0" w:line="408" w:lineRule="exact"/>
        <w:ind w:left="0" w:right="0" w:firstLine="576"/>
        <w:jc w:val="left"/>
      </w:pPr>
      <w:r>
        <w:rPr/>
        <w:t xml:space="preserve">(3) If the court order requires transportation of the defendant to a state hospital, the jail administrator shall provide the defendant's medical clearance information to the state hospital admission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A city or county jail shall transport a defendant to a state hospital or other secure facility designated by the department within one day of receipt of an offer of admission of the defendant for competency evaluation or restoration services.</w:t>
      </w:r>
    </w:p>
    <w:p>
      <w:pPr>
        <w:spacing w:before="0" w:after="0" w:line="408" w:lineRule="exact"/>
        <w:ind w:left="0" w:right="0" w:firstLine="576"/>
        <w:jc w:val="left"/>
      </w:pPr>
      <w:r>
        <w:rPr/>
        <w:t xml:space="preserve">(2) City and county jails must cooperate with competency evaluators and the department to arrange for competency evaluators to have reasonable, timely, and appropriate access to defendants for the purpose of performing evaluations under this chapter to accommodate the seven-day performance target for completing competency evaluations for defendants in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2012 c 256 s 5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w:t>
      </w:r>
      <w:r>
        <w:rPr>
          <w:u w:val="single"/>
        </w:rPr>
        <w:t xml:space="preserve">The court may order a defendant who has been found to be incompetent to undergo competency restoration treatment at a facility designated by the department if the defendant is eligible under RCW 10.77.086 or 10.77.088.</w:t>
      </w:r>
      <w:r>
        <w:rPr/>
        <w:t xml:space="preserve"> At the end of </w:t>
      </w:r>
      <w:r>
        <w:t>((</w:t>
      </w:r>
      <w:r>
        <w:rPr>
          <w:strike/>
        </w:rPr>
        <w:t xml:space="preserve">the mental health treatment and</w:t>
      </w:r>
      <w:r>
        <w:t>))</w:t>
      </w:r>
      <w:r>
        <w:rPr/>
        <w:t xml:space="preserve"> </w:t>
      </w:r>
      <w:r>
        <w:rPr>
          <w:u w:val="single"/>
        </w:rPr>
        <w:t xml:space="preserve">each competency</w:t>
      </w:r>
      <w:r>
        <w:rPr/>
        <w:t xml:space="preserve"> restoration period</w:t>
      </w:r>
      <w:r>
        <w:t>((</w:t>
      </w:r>
      <w:r>
        <w:rPr>
          <w:strike/>
        </w:rPr>
        <w:t xml:space="preserve">, if any,</w:t>
      </w:r>
      <w:r>
        <w:t>))</w:t>
      </w:r>
      <w:r>
        <w:rPr/>
        <w:t xml:space="preserve"> or at any time a professional person determines competency has been, or is unlikely to be, restored, the defendant shall be returned to court for a hearing</w:t>
      </w:r>
      <w:r>
        <w:t>((</w:t>
      </w:r>
      <w:r>
        <w:rPr>
          <w:strike/>
        </w:rPr>
        <w:t xml:space="preserve">.</w:t>
      </w:r>
      <w:r>
        <w:t>))</w:t>
      </w:r>
      <w:r>
        <w:rPr>
          <w:u w:val="single"/>
        </w:rPr>
        <w:t xml:space="preserve">, except that if the opinion of the professional person is that the defendant remains incompetent and the hearing is held before the expiration of the current competency restoration period, t</w:t>
      </w:r>
      <w:r>
        <w:rPr/>
        <w:t xml:space="preserve">he parties may agree to waive the defendant's presence </w:t>
      </w:r>
      <w:r>
        <w:t>((</w:t>
      </w:r>
      <w:r>
        <w:rPr>
          <w:strike/>
        </w:rPr>
        <w:t xml:space="preserve">or</w:t>
      </w:r>
      <w:r>
        <w:t>))</w:t>
      </w:r>
      <w:r>
        <w:rPr>
          <w:u w:val="single"/>
        </w:rPr>
        <w:t xml:space="preserve">,</w:t>
      </w:r>
      <w:r>
        <w:rPr/>
        <w:t xml:space="preserve"> to remote participation by the defendant at a hearing</w:t>
      </w:r>
      <w:r>
        <w:rPr>
          <w:u w:val="single"/>
        </w:rPr>
        <w:t xml:space="preserve">,</w:t>
      </w:r>
      <w:r>
        <w:rPr/>
        <w:t xml:space="preserve"> or </w:t>
      </w:r>
      <w:r>
        <w:rPr>
          <w:u w:val="single"/>
        </w:rPr>
        <w:t xml:space="preserve">to</w:t>
      </w:r>
      <w:r>
        <w:rPr/>
        <w:t xml:space="preserve"> presentation of an agreed order </w:t>
      </w:r>
      <w:r>
        <w:t>((</w:t>
      </w:r>
      <w:r>
        <w:rPr>
          <w:strike/>
        </w:rPr>
        <w:t xml:space="preserve">if the recommendation of the evaluator is for the continuation of the stay of criminal proceedings, or if the opinion of the evaluator is that the defendant remains incompetent and there is no remaining restoration period, and the hearing is held prior to expiration of the defendant's authorized period of commitment, in which case</w:t>
      </w:r>
      <w:r>
        <w:t>))</w:t>
      </w:r>
      <w:r>
        <w:rPr/>
        <w:t xml:space="preserve"> </w:t>
      </w:r>
      <w:r>
        <w:rPr>
          <w:u w:val="single"/>
        </w:rPr>
        <w:t xml:space="preserve">in lieu of a hearing. T</w:t>
      </w:r>
      <w:r>
        <w:rPr/>
        <w:t xml:space="preserve">he </w:t>
      </w:r>
      <w:r>
        <w:t>((</w:t>
      </w:r>
      <w:r>
        <w:rPr>
          <w:strike/>
        </w:rPr>
        <w:t xml:space="preserve">department</w:t>
      </w:r>
      <w:r>
        <w:t>))</w:t>
      </w:r>
      <w:r>
        <w:rPr/>
        <w:t xml:space="preserve"> </w:t>
      </w:r>
      <w:r>
        <w:rPr>
          <w:u w:val="single"/>
        </w:rPr>
        <w:t xml:space="preserve">facility</w:t>
      </w:r>
      <w:r>
        <w:rPr/>
        <w:t xml:space="preserve"> shall promptly notify the court and </w:t>
      </w:r>
      <w:r>
        <w:rPr>
          <w:u w:val="single"/>
        </w:rPr>
        <w:t xml:space="preserve">all</w:t>
      </w:r>
      <w:r>
        <w:rPr/>
        <w:t xml:space="preserve"> parties of the date </w:t>
      </w:r>
      <w:r>
        <w:t>((</w:t>
      </w:r>
      <w:r>
        <w:rPr>
          <w:strike/>
        </w:rPr>
        <w:t xml:space="preserve">of the defendant's admission and expiration of commitment</w:t>
      </w:r>
      <w:r>
        <w:t>))</w:t>
      </w:r>
      <w:r>
        <w:rPr/>
        <w:t xml:space="preserve"> </w:t>
      </w:r>
      <w:r>
        <w:rPr>
          <w:u w:val="single"/>
        </w:rPr>
        <w:t xml:space="preserve">on which the competency restoration period commences and expires</w:t>
      </w:r>
      <w:r>
        <w:rPr/>
        <w:t xml:space="preserve"> so that a timely hearing date may be scheduled.</w:t>
      </w:r>
    </w:p>
    <w:p>
      <w:pPr>
        <w:spacing w:before="0" w:after="0" w:line="408" w:lineRule="exact"/>
        <w:ind w:left="0" w:right="0" w:firstLine="576"/>
        <w:jc w:val="left"/>
      </w:pPr>
      <w:r>
        <w:rPr>
          <w:u w:val="single"/>
        </w:rPr>
        <w:t xml:space="preserve">(c)</w:t>
      </w:r>
      <w:r>
        <w:rPr/>
        <w:t xml:space="preserve"> If, </w:t>
      </w:r>
      <w:r>
        <w:t>((</w:t>
      </w:r>
      <w:r>
        <w:rPr>
          <w:strike/>
        </w:rPr>
        <w:t xml:space="preserve">after</w:t>
      </w:r>
      <w:r>
        <w:t>))</w:t>
      </w:r>
      <w:r>
        <w:rPr/>
        <w:t xml:space="preserve"> </w:t>
      </w:r>
      <w:r>
        <w:rPr>
          <w:u w:val="single"/>
        </w:rPr>
        <w:t xml:space="preserve">following</w:t>
      </w:r>
      <w:r>
        <w:rPr/>
        <w:t xml:space="preserve"> notice and hearing</w:t>
      </w:r>
      <w:r>
        <w:t>((</w:t>
      </w:r>
      <w:r>
        <w:rPr>
          <w:strike/>
        </w:rPr>
        <w:t xml:space="preserve">,</w:t>
      </w:r>
      <w:r>
        <w:t>))</w:t>
      </w:r>
      <w:r>
        <w:rPr/>
        <w:t xml:space="preserve"> </w:t>
      </w:r>
      <w:r>
        <w:rPr>
          <w:u w:val="single"/>
        </w:rPr>
        <w:t xml:space="preserve">or entry of an agreed order under (b) of this subsection, the court finds that</w:t>
      </w:r>
      <w:r>
        <w:rPr/>
        <w:t xml:space="preserve"> competency has been restored, </w:t>
      </w:r>
      <w:r>
        <w:rPr>
          <w:u w:val="single"/>
        </w:rPr>
        <w:t xml:space="preserve">the court shall lift</w:t>
      </w:r>
      <w:r>
        <w:rPr/>
        <w:t xml:space="preserve"> the stay entered under (a) of this subsection </w:t>
      </w:r>
      <w:r>
        <w:t>((</w:t>
      </w:r>
      <w:r>
        <w:rPr>
          <w:strike/>
        </w:rPr>
        <w:t xml:space="preserve">shall be lifted</w:t>
      </w:r>
      <w:r>
        <w:t>))</w:t>
      </w:r>
      <w:r>
        <w:rPr/>
        <w:t xml:space="preserve">. If </w:t>
      </w:r>
      <w:r>
        <w:rPr>
          <w:u w:val="single"/>
        </w:rPr>
        <w:t xml:space="preserve">the court finds that</w:t>
      </w:r>
      <w:r>
        <w:rPr/>
        <w:t xml:space="preserve"> competency has not been restored, the </w:t>
      </w:r>
      <w:r>
        <w:rPr>
          <w:u w:val="single"/>
        </w:rPr>
        <w:t xml:space="preserve">court shall dismiss the</w:t>
      </w:r>
      <w:r>
        <w:rPr/>
        <w:t xml:space="preserve"> proceedings </w:t>
      </w:r>
      <w:r>
        <w:t>((</w:t>
      </w:r>
      <w:r>
        <w:rPr>
          <w:strike/>
        </w:rPr>
        <w:t xml:space="preserve">shall be dismissed</w:t>
      </w:r>
      <w:r>
        <w:t>))</w:t>
      </w:r>
      <w:r>
        <w:rPr/>
        <w:t xml:space="preserve"> without prejudice</w:t>
      </w:r>
      <w:r>
        <w:t>((</w:t>
      </w:r>
      <w:r>
        <w:rPr>
          <w:strike/>
        </w:rPr>
        <w:t xml:space="preserve">. If the court concludes that competency has not been restored, but</w:t>
      </w:r>
      <w:r>
        <w:t>))</w:t>
      </w:r>
      <w:r>
        <w:rPr>
          <w:u w:val="single"/>
        </w:rPr>
        <w:t xml:space="preserve">, except that the court may order a further period of competency restoration treatment if it finds</w:t>
      </w:r>
      <w:r>
        <w:rPr/>
        <w:t xml:space="preserve"> that further treatment within the time limits established by RCW 10.77.086 or 10.77.088 is likely to restore competency, </w:t>
      </w:r>
      <w:r>
        <w:t>((</w:t>
      </w:r>
      <w:r>
        <w:rPr>
          <w:strike/>
        </w:rPr>
        <w:t xml:space="preserve">the court may order that treatment for purposes of competency restoration be continued. Such treatment may not extend beyond the combination of time provided for in</w:t>
      </w:r>
      <w:r>
        <w:t>))</w:t>
      </w:r>
      <w:r>
        <w:rPr/>
        <w:t xml:space="preserve"> </w:t>
      </w:r>
      <w:r>
        <w:rPr>
          <w:u w:val="single"/>
        </w:rPr>
        <w:t xml:space="preserve">and a further period of treatment is allowed under</w:t>
      </w:r>
      <w:r>
        <w:rPr/>
        <w:t xml:space="preserve"> RCW 10.77.086 or 10.77.088.</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at any time during the proceeding the court finds, following notice and hearing, a defendant is not likely to regain competency, </w:t>
      </w:r>
      <w:r>
        <w:rPr>
          <w:u w:val="single"/>
        </w:rPr>
        <w:t xml:space="preserve">the court shall dismiss</w:t>
      </w:r>
      <w:r>
        <w:rPr/>
        <w:t xml:space="preserve"> the proceedings </w:t>
      </w:r>
      <w:r>
        <w:t>((</w:t>
      </w:r>
      <w:r>
        <w:rPr>
          <w:strike/>
        </w:rPr>
        <w:t xml:space="preserve">shall be dismissed</w:t>
      </w:r>
      <w:r>
        <w:t>))</w:t>
      </w:r>
      <w:r>
        <w:rPr/>
        <w:t xml:space="preserve"> without prejudice and </w:t>
      </w:r>
      <w:r>
        <w:rPr>
          <w:u w:val="single"/>
        </w:rPr>
        <w:t xml:space="preserve">refer</w:t>
      </w:r>
      <w:r>
        <w:rPr/>
        <w:t xml:space="preserve"> the defendant </w:t>
      </w:r>
      <w:r>
        <w:t>((</w:t>
      </w:r>
      <w:r>
        <w:rPr>
          <w:strike/>
        </w:rPr>
        <w:t xml:space="preserve">shall be evaluated</w:t>
      </w:r>
      <w:r>
        <w:t>))</w:t>
      </w:r>
      <w:r>
        <w:rPr/>
        <w:t xml:space="preserve"> for civil commitment </w:t>
      </w:r>
      <w:r>
        <w:rPr>
          <w:u w:val="single"/>
        </w:rPr>
        <w:t xml:space="preserve">evaluation or</w:t>
      </w:r>
      <w:r>
        <w:rPr/>
        <w:t xml:space="preserve"> proceedings </w:t>
      </w:r>
      <w:r>
        <w:rPr>
          <w:u w:val="single"/>
        </w:rPr>
        <w:t xml:space="preserve">if appropriate under RCW 10.77.065, 10.77.086, or 10.77.088</w:t>
      </w:r>
      <w:r>
        <w:rPr/>
        <w:t xml:space="preserve">.</w:t>
      </w:r>
    </w:p>
    <w:p>
      <w:pPr>
        <w:spacing w:before="0" w:after="0" w:line="408" w:lineRule="exact"/>
        <w:ind w:left="0" w:right="0" w:firstLine="576"/>
        <w:jc w:val="left"/>
      </w:pPr>
      <w:r>
        <w:rPr/>
        <w:t xml:space="preserve">(2) If the defendant is referred for evaluation by a designated mental health professional under this chapter, the designated mental health professional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w:t>
      </w:r>
      <w:r>
        <w:rPr>
          <w:u w:val="single"/>
        </w:rPr>
        <w:t xml:space="preserve">(i)</w:t>
      </w:r>
      <w:r>
        <w:rPr/>
        <w:t xml:space="preserve"> If the defendant is charged with a felony and determined to be incompetent, until he or she has regained the competency necessary to understand the proceedings against him or her and assist in his or her own defense, </w:t>
      </w:r>
      <w:r>
        <w:t>((</w:t>
      </w:r>
      <w:r>
        <w:rPr>
          <w:strike/>
        </w:rPr>
        <w:t xml:space="preserve">or has been determined unlikely to regain competency pursuant to RCW 10.77.084(1)(b),</w:t>
      </w:r>
      <w:r>
        <w:t>))</w:t>
      </w:r>
      <w:r>
        <w:rPr/>
        <w:t xml:space="preserve"> but in any event for a period of no longer than ninety days, the court: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May alternatively order the defendant to undergo evaluation and treatment at some other facility </w:t>
      </w:r>
      <w:r>
        <w:rPr>
          <w:u w:val="single"/>
        </w:rPr>
        <w:t xml:space="preserve">or provider</w:t>
      </w:r>
      <w:r>
        <w:rPr/>
        <w:t xml:space="preserve"> as determined by the department, or under the guidance and control of a professional person. </w:t>
      </w:r>
      <w:r>
        <w:rPr>
          <w:u w:val="single"/>
        </w:rPr>
        <w:t xml:space="preserve">The facilities or providers may include community mental health providers or other local facilities that contract with the department and are willing and able to provide treatment under this section. </w:t>
      </w:r>
      <w:r>
        <w:rPr>
          <w:u w:val="single"/>
        </w:rPr>
        <w:t xml:space="preserve">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p>
    <w:p>
      <w:pPr>
        <w:spacing w:before="0" w:after="0" w:line="408" w:lineRule="exact"/>
        <w:ind w:left="0" w:right="0" w:firstLine="576"/>
        <w:jc w:val="left"/>
      </w:pPr>
      <w:r>
        <w:rPr>
          <w:u w:val="single"/>
        </w:rPr>
        <w:t xml:space="preserve">(ii) The ninety day period for evaluation and treatment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u w:val="single"/>
        </w:rPr>
        <w:t xml:space="preserve">(c) If the court determines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w:t>
      </w:r>
      <w:r>
        <w:t>((</w:t>
      </w:r>
      <w:r>
        <w:rPr>
          <w:strike/>
        </w:rPr>
        <w:t xml:space="preserve">,</w:t>
      </w:r>
      <w:r>
        <w:t>))</w:t>
      </w:r>
      <w:r>
        <w:rPr/>
        <w:t xml:space="preserve"> in the case of a defendant with a developmental disability, if the jury or court finds that the defendant is incompetent, </w:t>
      </w:r>
      <w:r>
        <w:rPr>
          <w:u w:val="single"/>
        </w:rPr>
        <w:t xml:space="preserve">or if the court or jury at any stage finds that the defendant is incompetent and the court determines that the defendant is unlikely to regain competency,</w:t>
      </w:r>
      <w:r>
        <w:rPr/>
        <w:t xml:space="preserve">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w:t>
      </w:r>
      <w:r>
        <w:t>((</w:t>
      </w:r>
      <w:r>
        <w:rPr>
          <w:strike/>
        </w:rPr>
        <w:t xml:space="preserve">shall order the secretary to place the defendant</w:t>
      </w:r>
      <w:r>
        <w:t>))</w:t>
      </w:r>
      <w:r>
        <w:rPr/>
        <w:t xml:space="preserve">:</w:t>
      </w:r>
    </w:p>
    <w:p>
      <w:pPr>
        <w:spacing w:before="0" w:after="0" w:line="408" w:lineRule="exact"/>
        <w:ind w:left="0" w:right="0" w:firstLine="576"/>
        <w:jc w:val="left"/>
      </w:pPr>
      <w:r>
        <w:rPr/>
        <w:t xml:space="preserve">(i) </w:t>
      </w:r>
      <w:r>
        <w:t>((</w:t>
      </w:r>
      <w:r>
        <w:rPr>
          <w:strike/>
        </w:rPr>
        <w:t xml:space="preserve">At a secure mental health facility in the custody of the department or an agency designated by the department for mental health treatment and restoration of competency.</w:t>
      </w:r>
      <w:r>
        <w:t>))</w:t>
      </w:r>
      <w:r>
        <w:rPr/>
        <w:t xml:space="preserve"> </w:t>
      </w:r>
      <w:r>
        <w:rPr>
          <w:u w:val="single"/>
        </w:rPr>
        <w:t xml:space="preserve">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u w:val="singl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w:t>
      </w:r>
      <w:r>
        <w:rPr>
          <w:u w:val="single"/>
        </w:rPr>
        <w:t xml:space="preserve">During the 2015-2017 fiscal biennium, </w:t>
      </w:r>
      <w:r>
        <w:rPr>
          <w:u w:val="single"/>
        </w:rPr>
        <w:t xml:space="preserve">the department may contract with one or more cities or counties to provide competency restoration services in a city or county jail if the city or county jail is willing and able to serve as a location for competency restoration services and</w:t>
      </w:r>
      <w:r>
        <w:rPr>
          <w:u w:val="single"/>
        </w:rPr>
        <w:t xml:space="preserve">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rPr/>
        <w:t xml:space="preserve"> The placement </w:t>
      </w:r>
      <w:r>
        <w:rPr>
          <w:u w:val="single"/>
        </w:rPr>
        <w:t xml:space="preserve">under (a)(i) and (ii) of this subsection</w:t>
      </w:r>
      <w:r>
        <w:rPr/>
        <w:t xml:space="preserve">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t>((</w:t>
      </w:r>
      <w:r>
        <w:rPr>
          <w:strike/>
        </w:rPr>
        <w:t xml:space="preserve">(ii)</w:t>
      </w:r>
      <w:r>
        <w:t>))</w:t>
      </w:r>
      <w:r>
        <w:rPr/>
        <w:t xml:space="preserve"> </w:t>
      </w:r>
      <w:r>
        <w:rPr>
          <w:u w:val="single"/>
        </w:rPr>
        <w:t xml:space="preserve">(iii) May alternatively order that the defendant be placed o</w:t>
      </w:r>
      <w:r>
        <w:rPr/>
        <w:t xml:space="preserve">n conditional release for up to ninety days for mental health treatment and restoration of competency; or</w:t>
      </w:r>
    </w:p>
    <w:p>
      <w:pPr>
        <w:spacing w:before="0" w:after="0" w:line="408" w:lineRule="exact"/>
        <w:ind w:left="0" w:right="0" w:firstLine="576"/>
        <w:jc w:val="left"/>
      </w:pPr>
      <w:r>
        <w:t>((</w:t>
      </w:r>
      <w:r>
        <w:rPr>
          <w:strike/>
        </w:rPr>
        <w:t xml:space="preserve">(iii)</w:t>
      </w:r>
      <w:r>
        <w:t>))</w:t>
      </w:r>
      <w:r>
        <w:rPr/>
        <w:t xml:space="preserve"> </w:t>
      </w:r>
      <w:r>
        <w:rPr>
          <w:u w:val="single"/>
        </w:rPr>
        <w:t xml:space="preserve">(iv) May order a</w:t>
      </w:r>
      <w:r>
        <w:rPr/>
        <w:t xml:space="preserve">ny combination of this subsection.</w:t>
      </w:r>
    </w:p>
    <w:p>
      <w:pPr>
        <w:spacing w:before="0" w:after="0" w:line="408" w:lineRule="exact"/>
        <w:ind w:left="0" w:right="0" w:firstLine="576"/>
        <w:jc w:val="left"/>
      </w:pPr>
      <w:r>
        <w:rPr/>
        <w:t xml:space="preserve">(b) </w:t>
      </w:r>
      <w:r>
        <w:rPr>
          <w:u w:val="single"/>
        </w:rPr>
        <w:t xml:space="preserve">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u w:val="single"/>
        </w:rPr>
        <w:t xml:space="preserve">(c)</w:t>
      </w:r>
      <w:r>
        <w:rPr/>
        <w:t xml:space="preserve">(i)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073</w:t>
      </w:r>
      <w:r>
        <w:rPr/>
        <w:t xml:space="preserve"> and 2013 c 284 s 1 are each amended to read as follows:</w:t>
      </w:r>
    </w:p>
    <w:p>
      <w:pPr>
        <w:spacing w:before="0" w:after="0" w:line="408" w:lineRule="exact"/>
        <w:ind w:left="0" w:right="0" w:firstLine="576"/>
        <w:jc w:val="left"/>
      </w:pPr>
      <w:r>
        <w:rPr/>
        <w:t xml:space="preserve">(1) </w:t>
      </w:r>
      <w:r>
        <w:rPr>
          <w:u w:val="single"/>
        </w:rPr>
        <w:t xml:space="preserve">The department shall reimburse a county for the cost of appointing a qualified expert or professional person under RCW 10.77.060(1)(a) subject to subsections (2) through (4) of this section i</w:t>
      </w:r>
      <w:r>
        <w:rPr/>
        <w:t xml:space="preserve">f, at the time of a referral for an evaluation of competency to stand trial in a jail for an in-custody defendant, the department </w:t>
      </w:r>
      <w:r>
        <w:t>((</w:t>
      </w:r>
      <w:r>
        <w:rPr>
          <w:strike/>
        </w:rPr>
        <w:t xml:space="preserve">has not met</w:t>
      </w:r>
      <w:r>
        <w:t>))</w:t>
      </w:r>
      <w:r>
        <w:rPr>
          <w:u w:val="single"/>
        </w:rPr>
        <w:t xml:space="preserve">: (a) During the most recent quarter, did not perform at least one-third of the number of jail-based competency evaluations for in-custody defendants as were performed by qualified experts or professional persons appointed by the court in the referring county; or (b) did not meet</w:t>
      </w:r>
      <w:r>
        <w:rPr/>
        <w:t xml:space="preserve"> the performance target for timely completion of competency evaluations under RCW 10.77.068(1)(a)</w:t>
      </w:r>
      <w:r>
        <w:t>((</w:t>
      </w:r>
      <w:r>
        <w:rPr>
          <w:strike/>
        </w:rPr>
        <w:t xml:space="preserve">(ii)</w:t>
      </w:r>
      <w:r>
        <w:t>))</w:t>
      </w:r>
      <w:r>
        <w:rPr/>
        <w:t xml:space="preserve"> </w:t>
      </w:r>
      <w:r>
        <w:rPr>
          <w:u w:val="single"/>
        </w:rPr>
        <w:t xml:space="preserve">(iii)</w:t>
      </w:r>
      <w:r>
        <w:rPr/>
        <w:t xml:space="preserve"> during the most recent quarter in fifty percent of cases submitted by the referring county, as documented in the most recent quarterly report under RCW 10.77.068(3) or confirmed by records maintained by the department</w:t>
      </w:r>
      <w:r>
        <w:t>((</w:t>
      </w:r>
      <w:r>
        <w:rPr>
          <w:strike/>
        </w:rPr>
        <w:t xml:space="preserve">, the department shall reimburse the county for the cost of appointing a qualified expert or professional person under RCW 10.77.060(1)(a) subject to subsections (2) and (3) of this section</w:t>
      </w:r>
      <w:r>
        <w:t>))</w:t>
      </w:r>
      <w:r>
        <w:rPr/>
        <w:t xml:space="preserve">.</w:t>
      </w:r>
    </w:p>
    <w:p>
      <w:pPr>
        <w:spacing w:before="0" w:after="0" w:line="408" w:lineRule="exact"/>
        <w:ind w:left="0" w:right="0" w:firstLine="576"/>
        <w:jc w:val="left"/>
      </w:pPr>
      <w:r>
        <w:rPr/>
        <w:t xml:space="preserve">(2) Appointment of a qualified expert or professional person under this section must be from a list of qualified experts or professional persons assembled with participation by representatives of the prosecuting attorney and the defense bar of the county. The qualified expert or professional person shall complete an evaluation and report that includes the components specified in RCW 10.77.060(3).</w:t>
      </w:r>
    </w:p>
    <w:p>
      <w:pPr>
        <w:spacing w:before="0" w:after="0" w:line="408" w:lineRule="exact"/>
        <w:ind w:left="0" w:right="0" w:firstLine="576"/>
        <w:jc w:val="left"/>
      </w:pPr>
      <w:r>
        <w:rPr/>
        <w:t xml:space="preserve">(3) The county shall provide a copy of the evaluation report to the applicable state hospital upon referral of the defendant for admission to the state hospital. The county shall </w:t>
      </w:r>
      <w:r>
        <w:t>((</w:t>
      </w:r>
      <w:r>
        <w:rPr>
          <w:strike/>
        </w:rPr>
        <w:t xml:space="preserve">maintain data on the timeliness of competency evaluations completed under this section</w:t>
      </w:r>
      <w:r>
        <w:t>))</w:t>
      </w:r>
      <w:r>
        <w:rPr>
          <w:u w:val="single"/>
        </w:rPr>
        <w:t xml:space="preserve">:</w:t>
      </w:r>
    </w:p>
    <w:p>
      <w:pPr>
        <w:spacing w:before="0" w:after="0" w:line="408" w:lineRule="exact"/>
        <w:ind w:left="0" w:right="0" w:firstLine="576"/>
        <w:jc w:val="left"/>
      </w:pPr>
      <w:r>
        <w:rPr>
          <w:u w:val="single"/>
        </w:rPr>
        <w:t xml:space="preserve">(a) In consultation with the department, develop and maintain critical data elements, including data on the timeliness of competency evaluations completed under this section; and</w:t>
      </w:r>
    </w:p>
    <w:p>
      <w:pPr>
        <w:spacing w:before="0" w:after="0" w:line="408" w:lineRule="exact"/>
        <w:ind w:left="0" w:right="0" w:firstLine="576"/>
        <w:jc w:val="left"/>
      </w:pPr>
      <w:r>
        <w:rPr>
          <w:u w:val="single"/>
        </w:rPr>
        <w:t xml:space="preserve">(b) Share this data with the department upon the department's request</w:t>
      </w:r>
      <w:r>
        <w:rPr/>
        <w:t xml:space="preserve">.</w:t>
      </w:r>
    </w:p>
    <w:p>
      <w:pPr>
        <w:spacing w:before="0" w:after="0" w:line="408" w:lineRule="exact"/>
        <w:ind w:left="0" w:right="0" w:firstLine="576"/>
        <w:jc w:val="left"/>
      </w:pPr>
      <w:r>
        <w:rPr/>
        <w:t xml:space="preserve">(4) A qualified expert or professional person appointed by a court under this section must be compensated for competency evaluations in an amount that will encourage in-depth evaluation reports. Subject to the availability of amounts appropriated for this specific purpose, the department shall reimburse the county in an amount determined by the department to be fair and reasonable with the county paying any excess costs. The amount of reimbursement established by the department must at least meet the equivalent amount for evaluations conducted by the department.</w:t>
      </w:r>
    </w:p>
    <w:p>
      <w:pPr>
        <w:spacing w:before="0" w:after="0" w:line="408" w:lineRule="exact"/>
        <w:ind w:left="0" w:right="0" w:firstLine="576"/>
        <w:jc w:val="left"/>
      </w:pPr>
      <w:r>
        <w:t>((</w:t>
      </w:r>
      <w:r>
        <w:rPr>
          <w:strike/>
        </w:rPr>
        <w:t xml:space="preserve">(4) [(5)]</w:t>
      </w:r>
      <w:r>
        <w:t>))</w:t>
      </w:r>
      <w:r>
        <w:rPr/>
        <w:t xml:space="preserve"> </w:t>
      </w:r>
      <w:r>
        <w:rPr>
          <w:u w:val="single"/>
        </w:rPr>
        <w:t xml:space="preserve">(5)</w:t>
      </w:r>
      <w:r>
        <w:rPr/>
        <w:t xml:space="preserve"> Nothing in this section precludes either party from objecting to the appointment of an evaluator on the basis that an inpatient evaluation is appropriate under RCW 10.77.060(1)(d).</w:t>
      </w:r>
    </w:p>
    <w:p>
      <w:pPr>
        <w:spacing w:before="0" w:after="0" w:line="408" w:lineRule="exact"/>
        <w:ind w:left="0" w:right="0" w:firstLine="576"/>
        <w:jc w:val="left"/>
      </w:pPr>
      <w:r>
        <w:t>((</w:t>
      </w:r>
      <w:r>
        <w:rPr>
          <w:strike/>
        </w:rPr>
        <w:t xml:space="preserve">(5) [(6)]</w:t>
      </w:r>
      <w:r>
        <w:t>))</w:t>
      </w:r>
      <w:r>
        <w:rPr/>
        <w:t xml:space="preserve"> </w:t>
      </w:r>
      <w:r>
        <w:rPr>
          <w:u w:val="single"/>
        </w:rPr>
        <w:t xml:space="preserve">(6)</w:t>
      </w:r>
      <w:r>
        <w:rPr/>
        <w:t xml:space="preserve"> This section expires June 30, </w:t>
      </w:r>
      <w:r>
        <w:t>((</w:t>
      </w:r>
      <w:r>
        <w:rPr>
          <w:strike/>
        </w:rPr>
        <w:t xml:space="preserve">2016</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w:t>
      </w:r>
      <w:r>
        <w:t>((</w:t>
      </w:r>
      <w:r>
        <w:rPr>
          <w:strike/>
        </w:rPr>
        <w:t xml:space="preserve">: PROVIDED, That nothing herein shall prohibit</w:t>
      </w:r>
      <w:r>
        <w:t>))</w:t>
      </w:r>
      <w:r>
        <w:rPr>
          <w:u w:val="single"/>
        </w:rPr>
        <w:t xml:space="preserve">. This section does not apply to</w:t>
      </w:r>
      <w:r>
        <w:rPr/>
        <w:t xml:space="preserve">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chemical dependency professional,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violent offense or sex offense as defined in RCW 9.94A.030, or a violation of RCW 9A.36.031(1) (d), (f), or (h).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order to prioritize goals of accuracy, prompt service to the court, quality assurance, and integration with other services, an office of forensic mental health services is established within the department of social and health services. The office shall be led by a director on at least the level of deputy assistant secretary within the department who shall, after a reasonable period of transition, have responsibility for the following functions:</w:t>
      </w:r>
    </w:p>
    <w:p>
      <w:pPr>
        <w:spacing w:before="0" w:after="0" w:line="408" w:lineRule="exact"/>
        <w:ind w:left="0" w:right="0" w:firstLine="576"/>
        <w:jc w:val="left"/>
      </w:pPr>
      <w:r>
        <w:rPr/>
        <w:t xml:space="preserve">(a) Operational control of all forensic evaluation services, including specific budget allocation;</w:t>
      </w:r>
    </w:p>
    <w:p>
      <w:pPr>
        <w:spacing w:before="0" w:after="0" w:line="408" w:lineRule="exact"/>
        <w:ind w:left="0" w:right="0" w:firstLine="576"/>
        <w:jc w:val="left"/>
      </w:pPr>
      <w:r>
        <w:rPr/>
        <w:t xml:space="preserve">(b) Responsibility for training forensic evaluators;</w:t>
      </w:r>
    </w:p>
    <w:p>
      <w:pPr>
        <w:spacing w:before="0" w:after="0" w:line="408" w:lineRule="exact"/>
        <w:ind w:left="0" w:right="0" w:firstLine="576"/>
        <w:jc w:val="left"/>
      </w:pPr>
      <w:r>
        <w:rPr/>
        <w:t xml:space="preserve">(c) Development of a system to certify forensic evaluators, and to monitor the quality of forensic evaluation reports;</w:t>
      </w:r>
    </w:p>
    <w:p>
      <w:pPr>
        <w:spacing w:before="0" w:after="0" w:line="408" w:lineRule="exact"/>
        <w:ind w:left="0" w:right="0" w:firstLine="576"/>
        <w:jc w:val="left"/>
      </w:pPr>
      <w:r>
        <w:rPr/>
        <w:t xml:space="preserve">(d) Liaison with courts, jails, and community mental health programs to ensure proper flow of information, coordinate logistical issues, and solve problems in complex circumstances;</w:t>
      </w:r>
    </w:p>
    <w:p>
      <w:pPr>
        <w:spacing w:before="0" w:after="0" w:line="408" w:lineRule="exact"/>
        <w:ind w:left="0" w:right="0" w:firstLine="576"/>
        <w:jc w:val="left"/>
      </w:pPr>
      <w:r>
        <w:rPr/>
        <w:t xml:space="preserve">(e) Coordination with state hospitals to identify and develop best practice interventions and curricula for services that are unique to forensic patients;</w:t>
      </w:r>
    </w:p>
    <w:p>
      <w:pPr>
        <w:spacing w:before="0" w:after="0" w:line="408" w:lineRule="exact"/>
        <w:ind w:left="0" w:right="0" w:firstLine="576"/>
        <w:jc w:val="left"/>
      </w:pPr>
      <w:r>
        <w:rPr/>
        <w:t xml:space="preserve">(f) Promotion of congruence across state hospitals where appropriate, and promotion of interventions that flow smoothly into community interventions;</w:t>
      </w:r>
    </w:p>
    <w:p>
      <w:pPr>
        <w:spacing w:before="0" w:after="0" w:line="408" w:lineRule="exact"/>
        <w:ind w:left="0" w:right="0" w:firstLine="576"/>
        <w:jc w:val="left"/>
      </w:pPr>
      <w:r>
        <w:rPr/>
        <w:t xml:space="preserve">(g) Coordination with regional support networks, behavioral health organizations, community mental health agencies, and the department of corrections regarding community treatment and monitoring of persons on conditional release;</w:t>
      </w:r>
    </w:p>
    <w:p>
      <w:pPr>
        <w:spacing w:before="0" w:after="0" w:line="408" w:lineRule="exact"/>
        <w:ind w:left="0" w:right="0" w:firstLine="576"/>
        <w:jc w:val="left"/>
      </w:pPr>
      <w:r>
        <w:rPr/>
        <w:t xml:space="preserve">(h) Oversight of forensic data collection and analysis statewide, and appropriate dissemination of data trends and recommendations; and</w:t>
      </w:r>
    </w:p>
    <w:p>
      <w:pPr>
        <w:spacing w:before="0" w:after="0" w:line="408" w:lineRule="exact"/>
        <w:ind w:left="0" w:right="0" w:firstLine="576"/>
        <w:jc w:val="left"/>
      </w:pPr>
      <w:r>
        <w:rPr/>
        <w:t xml:space="preserve">(i) Oversight of the development, implementation, and maintenance of community forensic programs and services.</w:t>
      </w:r>
    </w:p>
    <w:p>
      <w:pPr>
        <w:spacing w:before="0" w:after="0" w:line="408" w:lineRule="exact"/>
        <w:ind w:left="0" w:right="0" w:firstLine="576"/>
        <w:jc w:val="left"/>
      </w:pPr>
      <w:r>
        <w:rPr/>
        <w:t xml:space="preserve">(2) The office of forensic mental health services must have a clearly delineated budget separate from the overall budget for state hospital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secretary shall adopt rules as may be necessary to implement chapter . . ., Laws of 2015 1st sp. sess.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2015, the administrative office of the courts shall develop and prepare standard forms for court orders for: (1) Forensic evaluation and competency restoration services under chapter 10.77 RCW; and (2) involuntary civil commitment under chapter 71.05 RCW. In developing the standard court order forms, the administrative office of the courts shall consult with representatives from the superior courts and county clerks, the department of social and health services including the state hospitals, the attorney general's office, prosecuting attorneys, defense attorneys, the Washington state association of counties, disability rights Washington, and tribal and community mental health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established a court video testimony work group, to be composed of representatives from the administrative office of the courts, the superior courts, the department of social and health services including the state hospitals, prosecuting attorneys, defense attorneys, the Washington state association of counties, the attorney general's office, and disability rights Washington. The purpose of the work group is to consider and facilitate the use of video testimony by state competency evaluators and other representatives of the department of social and health services and the state hospitals in court matters under chapter 10.77 RCW. The work group must consider the applicability of local rules and the confrontation rights of the defendant. The administrative office of the courts is requested to convene and provide staffing to the work group. The work group must complete its work by June 30,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spacing w:before="0" w:after="0" w:line="408" w:lineRule="exact"/>
        <w:ind w:left="0" w:right="0" w:firstLine="576"/>
        <w:jc w:val="left"/>
      </w:pPr>
      <w:r>
        <w:rPr/>
        <w:t xml:space="preserve">(1) If an individual is referred to a designated mental health professional under RCW 10.77.088(1)</w:t>
      </w:r>
      <w:r>
        <w:t>((</w:t>
      </w:r>
      <w:r>
        <w:rPr>
          <w:strike/>
        </w:rPr>
        <w:t xml:space="preserve">(b)</w:t>
      </w:r>
      <w:r>
        <w:t>))</w:t>
      </w:r>
      <w:r>
        <w:rPr/>
        <w:t xml:space="preserve"> </w:t>
      </w:r>
      <w:r>
        <w:rPr>
          <w:u w:val="single"/>
        </w:rPr>
        <w:t xml:space="preserve">(c)</w:t>
      </w:r>
      <w:r>
        <w:rPr/>
        <w:t xml:space="preserve">(i), the designated mental health professional shall examine the individual within forty-eight hours. If the designated mental health professional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mental health professional not later than the next judicial day. At the hearing the superior court shall review the determination of the designated mental health professional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w:t>
      </w:r>
      <w:r>
        <w:t>((</w:t>
      </w:r>
      <w:r>
        <w:rPr>
          <w:strike/>
        </w:rPr>
        <w:t xml:space="preserve">(b)</w:t>
      </w:r>
      <w:r>
        <w:t>))</w:t>
      </w:r>
      <w:r>
        <w:rPr/>
        <w:t xml:space="preserve"> </w:t>
      </w:r>
      <w:r>
        <w:rPr>
          <w:u w:val="single"/>
        </w:rPr>
        <w:t xml:space="preserve">(c)</w:t>
      </w:r>
      <w:r>
        <w:rPr/>
        <w:t xml:space="preserve">(ii), a professional person shall evaluate the individual for purposes of determining whether to file a ninety-day inpatient or outpatient petition under chapter 71.05 RCW. Before expiration of the seventy-two hour evaluation period authorized under RCW 10.77.088(1)</w:t>
      </w:r>
      <w:r>
        <w:t>((</w:t>
      </w:r>
      <w:r>
        <w:rPr>
          <w:strike/>
        </w:rPr>
        <w:t xml:space="preserve">(b)</w:t>
      </w:r>
      <w:r>
        <w:t>))</w:t>
      </w:r>
      <w:r>
        <w:rPr/>
        <w:t xml:space="preserve"> </w:t>
      </w:r>
      <w:r>
        <w:rPr>
          <w:u w:val="single"/>
        </w:rPr>
        <w:t xml:space="preserve">(c)</w:t>
      </w:r>
      <w:r>
        <w:rPr/>
        <w:t xml:space="preserve">(ii),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mental health professional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10 s 3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regional support network, a professional person at the regional support network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Sections 1 through 6 and 8 through 15 of this act are necessary for the immediate preservation of the public peace, health, or safety, or support of the state government and its existing public institutions, and take effect July 1, 2015.</w:t>
      </w:r>
    </w:p>
    <w:p>
      <w:pPr>
        <w:spacing w:before="0" w:after="0" w:line="408" w:lineRule="exact"/>
        <w:ind w:left="0" w:right="0" w:firstLine="576"/>
        <w:jc w:val="left"/>
      </w:pPr>
      <w:r>
        <w:rPr/>
        <w:t xml:space="preserve">(3) Section 16 of this act takes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chapter 253, Laws of 2015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31cbc5996b1840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46c7cf8d1466d" /><Relationship Type="http://schemas.openxmlformats.org/officeDocument/2006/relationships/footer" Target="/word/footer.xml" Id="R31cbc5996b18404e" /></Relationships>
</file>