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c6ee1606f4b4a" /></Relationships>
</file>

<file path=word/document.xml><?xml version="1.0" encoding="utf-8"?>
<w:document xmlns:w="http://schemas.openxmlformats.org/wordprocessingml/2006/main">
  <w:body>
    <w:p>
      <w:r>
        <w:t>S-0134.1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5145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Dammeier, Frockt, Becker, Bailey, Rivers, and Brown</w:t>
      </w:r>
    </w:p>
    <w:p/>
    <w:p>
      <w:r>
        <w:rPr>
          <w:t xml:space="preserve">Read first time 01/14/15.  </w:t>
        </w:rPr>
      </w:r>
      <w:r>
        <w:rPr>
          <w:t xml:space="preserve">Referred to Committee on Health Care.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membership of the health technology clinical committee; and amending RCW 70.14.090.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70</w:t>
      </w:r>
      <w:r>
        <w:rPr/>
        <w:t xml:space="preserve">.</w:t>
      </w:r>
      <w:r>
        <w:t xml:space="preserve">14</w:t>
      </w:r>
      <w:r>
        <w:rPr/>
        <w:t xml:space="preserve">.</w:t>
      </w:r>
      <w:r>
        <w:t xml:space="preserve">090</w:t>
      </w:r>
      <w:r>
        <w:rPr/>
        <w:t xml:space="preserve"> and 2006 c 307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health technology clinical committee is established, to include the following eleven members appointed by the administrator in consultation with participating state agencies: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Six practicing physicians licensed under chapter 18.57 or 18.71 RCW;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Five other practicing licensed health professionals who use health technology in their scope of practice.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(i)</w:t>
      </w:r>
      <w:r>
        <w:rPr/>
        <w:t xml:space="preserve"> At least two members of the committee must have professional experience treating women, children, elderly persons, and people with diverse ethnic and racial backgrounds.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At least one member of the committee must be a medical expert appointed by the Washington state medical association.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Members of the committee: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Shall not contract with or be employed by a health technology manufacturer or a participating agency during their term or for eighteen months before their appointment. As a condition of appointment, each person shall agree to the terms and conditions imposed by the administrator regarding conflicts of interest;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Are immune from civil liability for any official acts performed in good faith as members of the committee;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Shall be compensated for participation in the work of the committee in accordance with a personal services contract to be executed after appointment and before commencement of activities related to the work of the committee.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Meetings of the committee and any advisory group are subject to chapter 42.30 RCW, the open public meetings act, including RCW 42.30.110(1)(l), which authorizes an executive session during a regular or special meeting to consider proprietary or confidential nonpublished information.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Neither the committee nor any advisory group is an agency for purposes of chapter 34.05 RCW.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The health care authority shall provide administrative support to the committee and any advisory group, and may adopt rules governing their operation.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d91126d0a854585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5145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74976912a4f23" /><Relationship Type="http://schemas.openxmlformats.org/officeDocument/2006/relationships/footer" Target="/word/footer.xml" Id="R6d91126d0a854585" /></Relationships>
</file>