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44f14ec93049c8" /></Relationships>
</file>

<file path=word/document.xml><?xml version="1.0" encoding="utf-8"?>
<w:document xmlns:w="http://schemas.openxmlformats.org/wordprocessingml/2006/main">
  <w:body>
    <w:p>
      <w:r>
        <w:t>S-0385.1</w:t>
      </w:r>
    </w:p>
    <w:p>
      <w:pPr>
        <w:jc w:val="center"/>
      </w:pPr>
      <w:r>
        <w:t>_______________________________________________</w:t>
      </w:r>
    </w:p>
    <w:p/>
    <w:p>
      <w:pPr>
        <w:jc w:val="center"/>
      </w:pPr>
      <w:r>
        <w:rPr>
          <w:b/>
        </w:rPr>
        <w:t>SENATE BILL 5135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Pearson, Ericksen, and Honeyford</w:t>
      </w:r>
    </w:p>
    <w:p/>
    <w:p>
      <w:r>
        <w:rPr>
          <w:t xml:space="preserve">Read first time 01/14/15.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certain existing water uses are not subject to interruption; adding a new section to chapter 90.44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hundreds of homeowners and businesses who lawfully obtained building permits are subject to unnecessary interruption of established groundwater uses through the operation of the Skagit river basin instream flow rule. An interruptible groundwater supply is not feasible for domestic use, is hazardous to public health, and imposes severe hardship on citizens who justifiably relied on the water availability determinations of both state and local governments. The same water users could suffer substantial economic hardship due to the enforcement of the Skagit river basin instream flow rule. It is therefore just, equitable, and within the public's interest to preserve from interruption those existing water uses. The legislature further finds that this act is consistent with the enforcement discretion exercised by the department of ecology following the supreme court of Washington's October 3, 2013, opinion in </w:t>
      </w:r>
      <w:r>
        <w:rPr>
          <w:i/>
        </w:rPr>
        <w:t xml:space="preserve">Swinomish Indian Tribal Community v. Washington State Department of Ecology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Groundwater uses exempt from the permit requirement of RCW 90.44.050 and established between April 14, 2001, and October 3, 2013, in the areas delineated in chapter 173-503 WAC as it existed on the effective date of this section shall not be subject to interruption from the instream flows established in chapter 173-503 WAC as it existed on the effective date of this section.</w:t>
      </w:r>
    </w:p>
    <w:p/>
    <w:p>
      <w:pPr>
        <w:jc w:val="center"/>
      </w:pPr>
      <w:r>
        <w:rPr>
          <w:b/>
        </w:rPr>
        <w:t>--- END ---</w:t>
      </w:r>
    </w:p>
    <w:sectPr>
      <w:pgNumType w:start="1"/>
      <w:footerReference xmlns:r="http://schemas.openxmlformats.org/officeDocument/2006/relationships" r:id="R557838cfad7d478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7e2ce904cf4fd8" /><Relationship Type="http://schemas.openxmlformats.org/officeDocument/2006/relationships/footer" Target="/word/footer.xml" Id="R557838cfad7d478b" /></Relationships>
</file>