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dc4c69f714af9" /></Relationships>
</file>

<file path=word/document.xml><?xml version="1.0" encoding="utf-8"?>
<w:document xmlns:w="http://schemas.openxmlformats.org/wordprocessingml/2006/main">
  <w:body>
    <w:p>
      <w:r>
        <w:t>S-1672.1</w:t>
      </w:r>
    </w:p>
    <w:p>
      <w:pPr>
        <w:jc w:val="center"/>
      </w:pPr>
      <w:r>
        <w:t>_______________________________________________</w:t>
      </w:r>
    </w:p>
    <w:p/>
    <w:p>
      <w:pPr>
        <w:jc w:val="center"/>
      </w:pPr>
      <w:r>
        <w:rPr>
          <w:b/>
        </w:rPr>
        <w:t>SUBSTITUTE SENATE BILL 5130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Pearson and Benton)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producers and processors; amending RCW 69.50.331;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licensing of marijuana producer and processor businesses within an area zoned for residential use or an area zoned for rural use with a minimum lot size of five acres creates a public nuisance, lowers property values, and increases the risk of criminal activity. The impacts of these businesses greatly affects the economic value of the neighboring properties through many factors, such as increased traffic and the potential for increased criminal activity, including trespassing, theft, and acts of physical violence.</w:t>
      </w:r>
    </w:p>
    <w:p>
      <w:pPr>
        <w:spacing w:before="0" w:after="0" w:line="408" w:lineRule="exact"/>
        <w:ind w:left="0" w:right="0" w:firstLine="576"/>
        <w:jc w:val="left"/>
      </w:pPr>
      <w:r>
        <w:rPr/>
        <w:t xml:space="preserve">The legislature finds that locating and relocating these businesses in other areas more suitable for producing marijuana and processing marijuana, useable marijuana, marijuana concentrates, and marijuana-infused products poses a smaller cost on society than to allow the businesses to diminish the public health, safety, and welfare of the neighboring residential and rural properties. The legislature also finds that the newly prohibited areas have other economically viable or beneficial uses and are not diminished in value by this act, and in many of these instances this act may increase the value of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w:t>
      </w:r>
      <w:r>
        <w:t>((</w:t>
      </w:r>
      <w:r>
        <w:rPr>
          <w:strike/>
        </w:rPr>
        <w:t xml:space="preserve">(9)</w:t>
      </w:r>
      <w:r>
        <w:t>))</w:t>
      </w:r>
      <w:r>
        <w:rPr/>
        <w:t xml:space="preserve"> </w:t>
      </w:r>
      <w:r>
        <w:rPr>
          <w:u w:val="single"/>
        </w:rPr>
        <w:t xml:space="preserve">(10)</w:t>
      </w:r>
      <w:r>
        <w:rPr/>
        <w:t xml:space="preserve">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w:t>
      </w:r>
      <w:r>
        <w:rPr>
          <w:u w:val="single"/>
        </w:rPr>
        <w:t xml:space="preserve">The state liquor control board shall not issue a marijuana producer or marijuana processor license for any premises located within an area zoned for residential use or an area zoned for rural use with a minimum lot size of five acres.</w:t>
      </w:r>
    </w:p>
    <w:p>
      <w:pPr>
        <w:spacing w:before="0" w:after="0" w:line="408" w:lineRule="exact"/>
        <w:ind w:left="0" w:right="0" w:firstLine="576"/>
        <w:jc w:val="left"/>
      </w:pPr>
      <w:r>
        <w:rPr>
          <w:u w:val="single"/>
        </w:rPr>
        <w:t xml:space="preserve">(10)</w:t>
      </w:r>
      <w:r>
        <w:rPr/>
        <w:t xml:space="preserve">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to new licenses issued on or after the effective date of this section. This act is also intended to be applied to the renewal of existing licenses issued under this chapter and no existing license may be renewed for locations that are in violation of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ee646b8346c40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0acce1f5a0473f" /><Relationship Type="http://schemas.openxmlformats.org/officeDocument/2006/relationships/footer" Target="/word/footer.xml" Id="Raee646b8346c405c" /></Relationships>
</file>