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e19edb55f84a7d" /></Relationships>
</file>

<file path=word/document.xml><?xml version="1.0" encoding="utf-8"?>
<w:document xmlns:w="http://schemas.openxmlformats.org/wordprocessingml/2006/main">
  <w:body>
    <w:p>
      <w:r>
        <w:t>S-0105.2</w:t>
      </w:r>
    </w:p>
    <w:p>
      <w:pPr>
        <w:jc w:val="center"/>
      </w:pPr>
      <w:r>
        <w:t>_______________________________________________</w:t>
      </w:r>
    </w:p>
    <w:p/>
    <w:p>
      <w:pPr>
        <w:jc w:val="center"/>
      </w:pPr>
      <w:r>
        <w:rPr>
          <w:b/>
        </w:rPr>
        <w:t>SENATE BILL 5107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Pedersen, Roach, O'Ban, Darneille, and Benton</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funding, and encouraging the establishment of therapeutic courts; amending RCW 82.14.460, 9.94A.517, 9.94A.517, and 70.96A.350; adding a new chapter to Title 2 RCW; creating a new section; repealing RCW 2.28.170, 2.28.175, 2.28.180, 2.28.190, 13.40.700, 13.40.710, 26.12.250, 2.28.165, and 2.28.166;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judges in the trial courts throughout the state effectively utilize what are known as therapeutic courts to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Trial courts have proved adept at creative approaches in fashioning a wide variety of therapeutic courts addressing the spectrum of social issues that can contribute to criminal activity and engagement with the child welfare system.</w:t>
      </w:r>
    </w:p>
    <w:p>
      <w:pPr>
        <w:spacing w:before="0" w:after="0" w:line="408" w:lineRule="exact"/>
        <w:ind w:left="0" w:right="0" w:firstLine="576"/>
        <w:jc w:val="left"/>
      </w:pPr>
      <w:r>
        <w:rPr/>
        <w:t xml:space="preserve">(2) The legislature further finds that by focusing on the specific individual's needs, providing treatment for the issues presented, and ensuring rapid and appropriate accountability for program violations, therapeutic courts may decrease recidivism, improve the safety of the community, and improve the life of the program participant and the lives of the participant's family members by decreasing the severity and frequency of the specific behavior addressed by the therapeutic court.</w:t>
      </w:r>
    </w:p>
    <w:p>
      <w:pPr>
        <w:spacing w:before="0" w:after="0" w:line="408" w:lineRule="exact"/>
        <w:ind w:left="0" w:right="0" w:firstLine="576"/>
        <w:jc w:val="left"/>
      </w:pPr>
      <w:r>
        <w:rPr/>
        <w:t xml:space="preserve">(3) The legislature recognizes the inherent authority of the judiciary under Article IV, section 1 of the state Constitution to establish therapeutic courts, and the outstanding contribution to the state and local communities made by the establishment of therapeutic courts and desires to provide a general provision in statute acknowledging and encouraging the judiciary to provide for therapeutic court programs to address the particular needs within a given judicial jurisdiction.</w:t>
      </w:r>
    </w:p>
    <w:p>
      <w:pPr>
        <w:spacing w:before="0" w:after="0" w:line="408" w:lineRule="exact"/>
        <w:ind w:left="0" w:right="0" w:firstLine="576"/>
        <w:jc w:val="left"/>
      </w:pPr>
      <w:r>
        <w:rPr/>
        <w:t xml:space="preserve">(4) Therapeutic court programs may include, but are not limited to:</w:t>
      </w:r>
    </w:p>
    <w:p>
      <w:pPr>
        <w:spacing w:before="0" w:after="0" w:line="408" w:lineRule="exact"/>
        <w:ind w:left="0" w:right="0" w:firstLine="576"/>
        <w:jc w:val="left"/>
      </w:pPr>
      <w:r>
        <w:rPr/>
        <w:t xml:space="preserve">(a) Adult drug court;</w:t>
      </w:r>
    </w:p>
    <w:p>
      <w:pPr>
        <w:spacing w:before="0" w:after="0" w:line="408" w:lineRule="exact"/>
        <w:ind w:left="0" w:right="0" w:firstLine="576"/>
        <w:jc w:val="left"/>
      </w:pPr>
      <w:r>
        <w:rPr/>
        <w:t xml:space="preserve">(b) Juvenile drug court;</w:t>
      </w:r>
    </w:p>
    <w:p>
      <w:pPr>
        <w:spacing w:before="0" w:after="0" w:line="408" w:lineRule="exact"/>
        <w:ind w:left="0" w:right="0" w:firstLine="576"/>
        <w:jc w:val="left"/>
      </w:pPr>
      <w:r>
        <w:rPr/>
        <w:t xml:space="preserve">(c) Family dependency treatment court or family drug court;</w:t>
      </w:r>
    </w:p>
    <w:p>
      <w:pPr>
        <w:spacing w:before="0" w:after="0" w:line="408" w:lineRule="exact"/>
        <w:ind w:left="0" w:right="0" w:firstLine="576"/>
        <w:jc w:val="left"/>
      </w:pPr>
      <w:r>
        <w:rPr/>
        <w:t xml:space="preserve">(d) Mental health court, which may include participants with developmental disabilities;</w:t>
      </w:r>
    </w:p>
    <w:p>
      <w:pPr>
        <w:spacing w:before="0" w:after="0" w:line="408" w:lineRule="exact"/>
        <w:ind w:left="0" w:right="0" w:firstLine="576"/>
        <w:jc w:val="left"/>
      </w:pPr>
      <w:r>
        <w:rPr/>
        <w:t xml:space="preserve">(e) DUI court;</w:t>
      </w:r>
    </w:p>
    <w:p>
      <w:pPr>
        <w:spacing w:before="0" w:after="0" w:line="408" w:lineRule="exact"/>
        <w:ind w:left="0" w:right="0" w:firstLine="576"/>
        <w:jc w:val="left"/>
      </w:pPr>
      <w:r>
        <w:rPr/>
        <w:t xml:space="preserve">(f) Veterans treatment court;</w:t>
      </w:r>
    </w:p>
    <w:p>
      <w:pPr>
        <w:spacing w:before="0" w:after="0" w:line="408" w:lineRule="exact"/>
        <w:ind w:left="0" w:right="0" w:firstLine="576"/>
        <w:jc w:val="left"/>
      </w:pPr>
      <w:r>
        <w:rPr/>
        <w:t xml:space="preserve">(g) Truancy court;</w:t>
      </w:r>
    </w:p>
    <w:p>
      <w:pPr>
        <w:spacing w:before="0" w:after="0" w:line="408" w:lineRule="exact"/>
        <w:ind w:left="0" w:right="0" w:firstLine="576"/>
        <w:jc w:val="left"/>
      </w:pPr>
      <w:r>
        <w:rPr/>
        <w:t xml:space="preserve">(h) Domestic violence court;</w:t>
      </w:r>
    </w:p>
    <w:p>
      <w:pPr>
        <w:spacing w:before="0" w:after="0" w:line="408" w:lineRule="exact"/>
        <w:ind w:left="0" w:right="0" w:firstLine="576"/>
        <w:jc w:val="left"/>
      </w:pPr>
      <w:r>
        <w:rPr/>
        <w:t xml:space="preserve">(i) Gambling court;</w:t>
      </w:r>
    </w:p>
    <w:p>
      <w:pPr>
        <w:spacing w:before="0" w:after="0" w:line="408" w:lineRule="exact"/>
        <w:ind w:left="0" w:right="0" w:firstLine="576"/>
        <w:jc w:val="left"/>
      </w:pPr>
      <w:r>
        <w:rPr/>
        <w:t xml:space="preserve">(j) Community court;</w:t>
      </w:r>
    </w:p>
    <w:p>
      <w:pPr>
        <w:spacing w:before="0" w:after="0" w:line="408" w:lineRule="exact"/>
        <w:ind w:left="0" w:right="0" w:firstLine="576"/>
        <w:jc w:val="left"/>
      </w:pPr>
      <w:r>
        <w:rPr/>
        <w:t xml:space="preserve">(k) Homeless court;</w:t>
      </w:r>
    </w:p>
    <w:p>
      <w:pPr>
        <w:spacing w:before="0" w:after="0" w:line="408" w:lineRule="exact"/>
        <w:ind w:left="0" w:right="0" w:firstLine="576"/>
        <w:jc w:val="left"/>
      </w:pPr>
      <w:r>
        <w:rPr/>
        <w:t xml:space="preserve">(l) Treatment, responsibility, and accountability on campus (Back on TRAC)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 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Title 2 RCW or a district or municipal court authorized under Title 3 or 35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department of social and health services shall furnish services to therapeutic courts addressing dependency matters where substance abuse or mental health are an issue unless the court contracts with providers outside of the department.</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Jurisdictions may seek federal funding available to support the operation of its therapeutic court and associated services and must match, on a dollar-for-dollar basis, state moneys allocated for therapeutic courts with local cash or in-kind resources. Moneys allocated by the state may be used to supplement, not supplant other federal, state, and local funds for therapeutic courts. However, until June 30, 2016, no match is required for state moneys expended for the administrative and overhead costs associated with the operation of a therapeutic court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2012 c 180 s 1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 and for the operation or delivery of therapeutic court programs and services. For the purposes of this section, "programs and services" includes, but is not limited to, treatment services, case management, </w:t>
      </w:r>
      <w:r>
        <w:rPr>
          <w:u w:val="single"/>
        </w:rPr>
        <w:t xml:space="preserve">transportation,</w:t>
      </w:r>
      <w:r>
        <w:rPr/>
        <w:t xml:space="preserve"> and housing that are a component of a coordinated chemical dependency or mental health treatment program or service. </w:t>
      </w:r>
      <w:r>
        <w:rPr>
          <w:u w:val="single"/>
        </w:rPr>
        <w:t xml:space="preserve">Every jurisdiction that authorizes the tax provided in this section shall, and every other jurisdiction may, establish and operate a therapeutic court component for dependency proceedings designed to be effective for the court's size, location, and resources.</w:t>
      </w:r>
    </w:p>
    <w:p>
      <w:pPr>
        <w:spacing w:before="0" w:after="0" w:line="408" w:lineRule="exact"/>
        <w:ind w:left="0" w:right="0" w:firstLine="576"/>
        <w:jc w:val="left"/>
      </w:pPr>
      <w:r>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Individual trial courts are authorized and encouraged to establish multijurisdictional partnerships and/or interlocal agreements under RCW 39.34.180 to enhance and expand the coverage area of the therapeutic court. Specifically, district and municipal courts may work cooperatively with each other and with the superior courts to identify and implement nontraditional case processing methods which can eliminate traditional barriers that decrease judicial efficiency.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therapeutic court meeting the definition of therapeutic court in section 2 of this act and existing on the effective date of this section continues to be authorized.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2013 2nd sp.s. c 14 s 1 are each amended to read as follows:</w:t>
      </w:r>
    </w:p>
    <w:p>
      <w:pPr>
        <w:spacing w:before="0" w:after="0" w:line="408" w:lineRule="exact"/>
        <w:ind w:left="0" w:right="0" w:firstLine="576"/>
        <w:jc w:val="left"/>
      </w:pPr>
      <w:r>
        <w:rPr/>
        <w:t xml:space="preserve">(1)</w:t>
      </w:r>
    </w:p>
    <w:p>
      <w:pPr>
        <w:spacing w:before="0" w:after="0" w:line="408" w:lineRule="exact"/>
        <w:ind w:left="0" w:right="0" w:firstLine="0"/>
        <w:jc w:val="center"/>
      </w:pPr>
      <w:r>
        <w:rPr/>
        <w:t xml:space="preserve">TABLE 3</w:t>
      </w:r>
    </w:p>
    <w:p>
      <w:pPr>
        <w:spacing w:before="0" w:after="0" w:line="408" w:lineRule="exact"/>
        <w:ind w:left="0" w:right="0" w:firstLine="0"/>
        <w:jc w:val="center"/>
      </w:pPr>
      <w:r>
        <w:rPr/>
        <w:t xml:space="preserve">DRUG OFFENSE SENTENCING GRID</w:t>
      </w:r>
    </w:p>
    <w:tbl>
      <w:tblPr>
        <w:tblW w:w="0" w:type="auto"/>
        <w:jc w:val="center"/>
        <w:tcMar>
          <w:tblCellMar>
            <w:top w:w="0" w:type="dxa"/>
          </w:tblCellMar>
        </w:tcMar>
        <w:tcMar>
          <w:tblCellMar>
            <w:left w:w="70" w:type="dxa"/>
            <w:right w:w="70" w:type="dxa"/>
          </w:tblCellMar>
        </w:tcMar>
      </w:tblPr>
      <w:tblGrid>
        <w:gridCol w:w="1255"/>
        <w:gridCol w:w="1175"/>
        <w:gridCol w:w="1215"/>
        <w:gridCol w:w="1215"/>
      </w:tblGrid>
      <w:tr>
        <w:tc>
          <w:tcPr>
            <w:tcW w:w="1255" w:type="dxa"/>
            <w:vAlign w:val="top"/>
          </w:tcPr>
          <w:p>
            <w:pPr>
              <w:spacing w:before="0" w:after="0" w:line="408" w:lineRule="exact"/>
              <w:ind w:left="0" w:right="0" w:firstLine="0"/>
              <w:jc w:val="left"/>
            </w:pPr>
            <w:r>
              <w:rPr>
                <w:rFonts w:ascii="Times New Roman" w:hAnsi="Times New Roman"/>
                <w:b/>
                <w:sz w:val="20"/>
              </w:rPr>
              <w:t xml:space="preserve">Seriousness</w:t>
            </w:r>
          </w:p>
          <w:p>
            <w:pPr>
              <w:spacing w:before="0" w:after="0" w:line="408" w:lineRule="exact"/>
              <w:ind w:left="0" w:right="0" w:firstLine="0"/>
              <w:jc w:val="left"/>
            </w:pPr>
            <w:r>
              <w:rPr>
                <w:rFonts w:ascii="Times New Roman" w:hAnsi="Times New Roman"/>
                <w:b/>
                <w:sz w:val="20"/>
              </w:rPr>
              <w:t xml:space="preserve">Level</w:t>
            </w:r>
          </w:p>
        </w:tc>
        <w:tc>
          <w:tcPr>
            <w:tcW w:w="1175" w:type="dxa"/>
            <w:vAlign w:val="top"/>
          </w:tcPr>
          <w:p>
            <w:pPr>
              <w:spacing w:before="0" w:after="0" w:line="408" w:lineRule="exact"/>
              <w:ind w:left="0" w:right="0" w:firstLine="0"/>
              <w:jc w:val="left"/>
            </w:pPr>
            <w:r>
              <w:rPr>
                <w:rFonts w:ascii="Times New Roman" w:hAnsi="Times New Roman"/>
                <w:b/>
                <w:sz w:val="20"/>
              </w:rPr>
              <w:t xml:space="preserve">Offender Score</w:t>
            </w:r>
          </w:p>
          <w:p>
            <w:pPr>
              <w:spacing w:before="0" w:after="0" w:line="408" w:lineRule="exact"/>
              <w:ind w:left="0" w:right="0" w:firstLine="0"/>
              <w:jc w:val="left"/>
            </w:pPr>
            <w:r>
              <w:rPr>
                <w:rFonts w:ascii="Times New Roman" w:hAnsi="Times New Roman"/>
                <w:b/>
                <w:sz w:val="20"/>
              </w:rPr>
              <w:t xml:space="preserve">0 to 2</w:t>
            </w:r>
          </w:p>
        </w:tc>
        <w:tc>
          <w:tcPr>
            <w:tcW w:w="1215" w:type="dxa"/>
            <w:vAlign w:val="top"/>
          </w:tcPr>
          <w:p>
            <w:pPr>
              <w:spacing w:before="0" w:after="0" w:line="408" w:lineRule="exact"/>
              <w:ind w:left="0" w:right="0" w:firstLine="0"/>
              <w:jc w:val="left"/>
            </w:pPr>
            <w:r>
              <w:rPr>
                <w:rFonts w:ascii="Times New Roman" w:hAnsi="Times New Roman"/>
                <w:b/>
                <w:sz w:val="20"/>
              </w:rPr>
              <w:t xml:space="preserve">Offender Score</w:t>
            </w:r>
          </w:p>
          <w:p>
            <w:pPr>
              <w:spacing w:before="0" w:after="0" w:line="408" w:lineRule="exact"/>
              <w:ind w:left="0" w:right="0" w:firstLine="0"/>
              <w:jc w:val="left"/>
            </w:pPr>
            <w:r>
              <w:rPr>
                <w:rFonts w:ascii="Times New Roman" w:hAnsi="Times New Roman"/>
                <w:b/>
                <w:sz w:val="20"/>
              </w:rPr>
              <w:t xml:space="preserve">3 to 5</w:t>
            </w:r>
          </w:p>
        </w:tc>
        <w:tc>
          <w:tcPr>
            <w:tcW w:w="1215" w:type="dxa"/>
            <w:vAlign w:val="top"/>
          </w:tcPr>
          <w:p>
            <w:pPr>
              <w:spacing w:before="0" w:after="0" w:line="408" w:lineRule="exact"/>
              <w:ind w:left="0" w:right="0" w:firstLine="0"/>
              <w:jc w:val="left"/>
            </w:pPr>
            <w:r>
              <w:rPr>
                <w:rFonts w:ascii="Times New Roman" w:hAnsi="Times New Roman"/>
                <w:b/>
                <w:sz w:val="20"/>
              </w:rPr>
              <w:t xml:space="preserve">Offender Score</w:t>
            </w:r>
          </w:p>
          <w:p>
            <w:pPr>
              <w:spacing w:before="0" w:after="0" w:line="408" w:lineRule="exact"/>
              <w:ind w:left="0" w:right="0" w:firstLine="0"/>
              <w:jc w:val="left"/>
            </w:pPr>
            <w:r>
              <w:rPr>
                <w:rFonts w:ascii="Times New Roman" w:hAnsi="Times New Roman"/>
                <w:b/>
                <w:sz w:val="20"/>
              </w:rPr>
              <w:t xml:space="preserve">6 to 9 or more</w:t>
            </w:r>
          </w:p>
        </w:tc>
      </w:tr>
      <w:tr>
        <w:tc>
          <w:tcPr>
            <w:tcW w:w="1255" w:type="dxa"/>
            <w:vAlign w:val="top"/>
          </w:tcPr>
          <w:p>
            <w:pPr>
              <w:spacing w:before="0" w:after="0" w:line="408" w:lineRule="exact"/>
              <w:ind w:left="0" w:right="0" w:firstLine="0"/>
              <w:jc w:val="left"/>
            </w:pPr>
            <w:r>
              <w:rPr>
                <w:rFonts w:ascii="Times New Roman" w:hAnsi="Times New Roman"/>
                <w:b/>
                <w:sz w:val="20"/>
              </w:rPr>
              <w:t xml:space="preserve">III</w:t>
            </w:r>
          </w:p>
        </w:tc>
        <w:tc>
          <w:tcPr>
            <w:tcW w:w="1175" w:type="dxa"/>
            <w:vAlign w:val="top"/>
          </w:tcPr>
          <w:p>
            <w:pPr>
              <w:spacing w:before="0" w:after="0" w:line="408" w:lineRule="exact"/>
              <w:ind w:left="0" w:right="0" w:firstLine="0"/>
              <w:jc w:val="left"/>
            </w:pPr>
            <w:r>
              <w:rPr>
                <w:rFonts w:ascii="Times New Roman" w:hAnsi="Times New Roman"/>
                <w:sz w:val="20"/>
              </w:rPr>
              <w:t xml:space="preserve">51 to 68 months</w:t>
            </w:r>
          </w:p>
        </w:tc>
        <w:tc>
          <w:tcPr>
            <w:tcW w:w="1215" w:type="dxa"/>
            <w:vAlign w:val="top"/>
          </w:tcPr>
          <w:p>
            <w:pPr>
              <w:spacing w:before="0" w:after="0" w:line="408" w:lineRule="exact"/>
              <w:ind w:left="0" w:right="0" w:firstLine="0"/>
              <w:jc w:val="left"/>
            </w:pPr>
            <w:r>
              <w:rPr>
                <w:rFonts w:ascii="Times New Roman" w:hAnsi="Times New Roman"/>
                <w:sz w:val="20"/>
              </w:rPr>
              <w:t xml:space="preserve">68 + to 100 months</w:t>
            </w:r>
          </w:p>
        </w:tc>
        <w:tc>
          <w:tcPr>
            <w:tcW w:w="1215" w:type="dxa"/>
            <w:vAlign w:val="top"/>
          </w:tcPr>
          <w:p>
            <w:pPr>
              <w:spacing w:before="0" w:after="0" w:line="408" w:lineRule="exact"/>
              <w:ind w:left="0" w:right="0" w:firstLine="0"/>
              <w:jc w:val="left"/>
            </w:pPr>
            <w:r>
              <w:rPr>
                <w:rFonts w:ascii="Times New Roman" w:hAnsi="Times New Roman"/>
                <w:sz w:val="20"/>
              </w:rPr>
              <w:t xml:space="preserve">100 + to 120 months</w:t>
            </w:r>
          </w:p>
        </w:tc>
      </w:tr>
      <w:tr>
        <w:tc>
          <w:tcPr>
            <w:tcW w:w="1255" w:type="dxa"/>
            <w:vAlign w:val="top"/>
          </w:tcPr>
          <w:p>
            <w:pPr>
              <w:spacing w:before="0" w:after="0" w:line="408" w:lineRule="exact"/>
              <w:ind w:left="0" w:right="0" w:firstLine="0"/>
              <w:jc w:val="left"/>
            </w:pPr>
            <w:r>
              <w:rPr>
                <w:rFonts w:ascii="Times New Roman" w:hAnsi="Times New Roman"/>
                <w:b/>
                <w:sz w:val="20"/>
              </w:rPr>
              <w:t xml:space="preserve">II</w:t>
            </w:r>
          </w:p>
        </w:tc>
        <w:tc>
          <w:tcPr>
            <w:tcW w:w="1175" w:type="dxa"/>
            <w:vAlign w:val="top"/>
          </w:tcPr>
          <w:p>
            <w:pPr>
              <w:spacing w:before="0" w:after="0" w:line="408" w:lineRule="exact"/>
              <w:ind w:left="0" w:right="0" w:firstLine="0"/>
              <w:jc w:val="left"/>
            </w:pPr>
            <w:r>
              <w:rPr>
                <w:rFonts w:ascii="Times New Roman" w:hAnsi="Times New Roman"/>
                <w:sz w:val="20"/>
              </w:rPr>
              <w:t xml:space="preserve">12 + to 20 months</w:t>
            </w:r>
          </w:p>
        </w:tc>
        <w:tc>
          <w:tcPr>
            <w:tcW w:w="1215" w:type="dxa"/>
            <w:vAlign w:val="top"/>
          </w:tcPr>
          <w:p>
            <w:pPr>
              <w:spacing w:before="0" w:after="0" w:line="408" w:lineRule="exact"/>
              <w:ind w:left="0" w:right="0" w:firstLine="0"/>
              <w:jc w:val="left"/>
            </w:pPr>
            <w:r>
              <w:rPr>
                <w:rFonts w:ascii="Times New Roman" w:hAnsi="Times New Roman"/>
                <w:sz w:val="20"/>
              </w:rPr>
              <w:t xml:space="preserve">20 + to 60 months</w:t>
            </w:r>
          </w:p>
        </w:tc>
        <w:tc>
          <w:tcPr>
            <w:tcW w:w="1215" w:type="dxa"/>
            <w:vAlign w:val="top"/>
          </w:tcPr>
          <w:p>
            <w:pPr>
              <w:spacing w:before="0" w:after="0" w:line="408" w:lineRule="exact"/>
              <w:ind w:left="0" w:right="0" w:firstLine="0"/>
              <w:jc w:val="left"/>
            </w:pPr>
            <w:r>
              <w:rPr>
                <w:rFonts w:ascii="Times New Roman" w:hAnsi="Times New Roman"/>
                <w:sz w:val="20"/>
              </w:rPr>
              <w:t xml:space="preserve">60 + to 120 months</w:t>
            </w:r>
          </w:p>
        </w:tc>
      </w:tr>
      <w:tr>
        <w:tc>
          <w:tcPr>
            <w:tcW w:w="1255" w:type="dxa"/>
            <w:vAlign w:val="top"/>
          </w:tcPr>
          <w:p>
            <w:pPr>
              <w:spacing w:before="0" w:after="0" w:line="408" w:lineRule="exact"/>
              <w:ind w:left="0" w:right="0" w:firstLine="0"/>
              <w:jc w:val="left"/>
            </w:pPr>
            <w:r>
              <w:rPr>
                <w:rFonts w:ascii="Times New Roman" w:hAnsi="Times New Roman"/>
                <w:b/>
                <w:sz w:val="20"/>
              </w:rPr>
              <w:t xml:space="preserve">I</w:t>
            </w:r>
          </w:p>
        </w:tc>
        <w:tc>
          <w:tcPr>
            <w:tcW w:w="1175" w:type="dxa"/>
            <w:vAlign w:val="top"/>
          </w:tcPr>
          <w:p>
            <w:pPr>
              <w:spacing w:before="0" w:after="0" w:line="408" w:lineRule="exact"/>
              <w:ind w:left="0" w:right="0" w:firstLine="0"/>
              <w:jc w:val="left"/>
            </w:pPr>
            <w:r>
              <w:rPr>
                <w:rFonts w:ascii="Times New Roman" w:hAnsi="Times New Roman"/>
                <w:sz w:val="20"/>
              </w:rPr>
              <w:t xml:space="preserve">0 to 6 months</w:t>
            </w:r>
          </w:p>
        </w:tc>
        <w:tc>
          <w:tcPr>
            <w:tcW w:w="1215" w:type="dxa"/>
            <w:vAlign w:val="top"/>
          </w:tcPr>
          <w:p>
            <w:pPr>
              <w:spacing w:before="0" w:after="0" w:line="408" w:lineRule="exact"/>
              <w:ind w:left="0" w:right="0" w:firstLine="0"/>
              <w:jc w:val="left"/>
            </w:pPr>
            <w:r>
              <w:rPr>
                <w:rFonts w:ascii="Times New Roman" w:hAnsi="Times New Roman"/>
                <w:sz w:val="20"/>
              </w:rPr>
              <w:t xml:space="preserve">6 + to 12 months</w:t>
            </w:r>
          </w:p>
        </w:tc>
        <w:tc>
          <w:tcPr>
            <w:tcW w:w="1215" w:type="dxa"/>
            <w:vAlign w:val="top"/>
          </w:tcPr>
          <w:p>
            <w:pPr>
              <w:spacing w:before="0" w:after="0" w:line="408" w:lineRule="exact"/>
              <w:ind w:left="0" w:right="0" w:firstLine="0"/>
              <w:jc w:val="left"/>
            </w:pPr>
            <w:r>
              <w:rPr>
                <w:rFonts w:ascii="Times New Roman" w:hAnsi="Times New Roman"/>
                <w:sz w:val="20"/>
              </w:rPr>
              <w:t xml:space="preserve">12 + to 24 months</w:t>
            </w:r>
          </w:p>
        </w:tc>
      </w:tr>
    </w:tbl>
    <w:p>
      <w:pPr>
        <w:spacing w:before="0" w:after="0" w:line="408" w:lineRule="exact"/>
        <w:ind w:left="0" w:right="0" w:firstLine="0"/>
        <w:jc w:val="left"/>
      </w:pPr>
      <w:r>
        <w:rPr/>
        <w:t xml:space="preserve">References to months represent the standard sentence ranges.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w:t>
      </w:r>
      <w:r>
        <w:rPr>
          <w:strike/>
        </w:rPr>
        <w:t xml:space="preserve">RCW 2.28.170</w:t>
      </w:r>
      <w:r>
        <w:rPr/>
        <w:t xml:space="preserve">)) </w:t>
      </w:r>
      <w:r>
        <w:rPr>
          <w:u w:val="single"/>
        </w:rPr>
        <w:t xml:space="preserve">chapter 2.--- RCW (the new chapter created in section 12 of this act)</w:t>
      </w:r>
      <w:r>
        <w:rPr/>
        <w:t xml:space="preserve">.</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2002 c 290 s 8 are each amended to read as follows:</w:t>
      </w:r>
    </w:p>
    <w:p>
      <w:pPr>
        <w:spacing w:before="0" w:after="0" w:line="408" w:lineRule="exact"/>
        <w:ind w:left="0" w:right="0" w:firstLine="576"/>
        <w:jc w:val="left"/>
      </w:pPr>
      <w:r>
        <w:rPr/>
        <w:t xml:space="preserve">(1)</w:t>
      </w:r>
    </w:p>
    <w:p>
      <w:pPr>
        <w:spacing w:before="0" w:after="0" w:line="408" w:lineRule="exact"/>
        <w:ind w:left="0" w:right="0" w:firstLine="0"/>
        <w:jc w:val="center"/>
      </w:pPr>
      <w:r>
        <w:rPr/>
        <w:t xml:space="preserve">TABLE 3</w:t>
      </w:r>
    </w:p>
    <w:p>
      <w:pPr>
        <w:spacing w:before="0" w:after="0" w:line="408" w:lineRule="exact"/>
        <w:ind w:left="0" w:right="0" w:firstLine="0"/>
        <w:jc w:val="center"/>
      </w:pPr>
      <w:r>
        <w:rPr/>
        <w:t xml:space="preserve">DRUG OFFENSE SENTENCING GRID</w:t>
      </w:r>
    </w:p>
    <w:tbl>
      <w:tblPr>
        <w:tblW w:w="0" w:type="auto"/>
        <w:jc w:val="center"/>
        <w:tcMar>
          <w:tblCellMar>
            <w:top w:w="0" w:type="dxa"/>
          </w:tblCellMar>
        </w:tcMar>
        <w:tcMar>
          <w:tblCellMar>
            <w:left w:w="70" w:type="dxa"/>
            <w:right w:w="70" w:type="dxa"/>
          </w:tblCellMar>
        </w:tcMar>
      </w:tblPr>
      <w:tblGrid>
        <w:gridCol w:w="1255"/>
        <w:gridCol w:w="1175"/>
        <w:gridCol w:w="1215"/>
        <w:gridCol w:w="1215"/>
      </w:tblGrid>
      <w:tr>
        <w:tc>
          <w:tcPr>
            <w:tcW w:w="1255" w:type="dxa"/>
            <w:vAlign w:val="top"/>
          </w:tcPr>
          <w:p>
            <w:pPr>
              <w:spacing w:before="0" w:after="0" w:line="408" w:lineRule="exact"/>
              <w:ind w:left="0" w:right="0" w:firstLine="0"/>
              <w:jc w:val="left"/>
            </w:pPr>
            <w:r>
              <w:rPr>
                <w:rFonts w:ascii="Times New Roman" w:hAnsi="Times New Roman"/>
                <w:b/>
                <w:sz w:val="20"/>
              </w:rPr>
              <w:t xml:space="preserve">Seriousness</w:t>
            </w:r>
          </w:p>
          <w:p>
            <w:pPr>
              <w:spacing w:before="0" w:after="0" w:line="408" w:lineRule="exact"/>
              <w:ind w:left="0" w:right="0" w:firstLine="0"/>
              <w:jc w:val="left"/>
            </w:pPr>
            <w:r>
              <w:rPr>
                <w:rFonts w:ascii="Times New Roman" w:hAnsi="Times New Roman"/>
                <w:b/>
                <w:sz w:val="20"/>
              </w:rPr>
              <w:t xml:space="preserve">Level</w:t>
            </w:r>
          </w:p>
        </w:tc>
        <w:tc>
          <w:tcPr>
            <w:tcW w:w="1175" w:type="dxa"/>
            <w:vAlign w:val="top"/>
          </w:tcPr>
          <w:p>
            <w:pPr>
              <w:spacing w:before="0" w:after="0" w:line="408" w:lineRule="exact"/>
              <w:ind w:left="0" w:right="0" w:firstLine="0"/>
              <w:jc w:val="left"/>
            </w:pPr>
            <w:r>
              <w:rPr>
                <w:rFonts w:ascii="Times New Roman" w:hAnsi="Times New Roman"/>
                <w:b/>
                <w:sz w:val="20"/>
              </w:rPr>
              <w:t xml:space="preserve">Offender Score</w:t>
            </w:r>
          </w:p>
          <w:p>
            <w:pPr>
              <w:spacing w:before="0" w:after="0" w:line="408" w:lineRule="exact"/>
              <w:ind w:left="0" w:right="0" w:firstLine="0"/>
              <w:jc w:val="left"/>
            </w:pPr>
            <w:r>
              <w:rPr>
                <w:rFonts w:ascii="Times New Roman" w:hAnsi="Times New Roman"/>
                <w:b/>
                <w:sz w:val="20"/>
              </w:rPr>
              <w:t xml:space="preserve">0 to 2</w:t>
            </w:r>
          </w:p>
        </w:tc>
        <w:tc>
          <w:tcPr>
            <w:tcW w:w="1215" w:type="dxa"/>
            <w:vAlign w:val="top"/>
          </w:tcPr>
          <w:p>
            <w:pPr>
              <w:spacing w:before="0" w:after="0" w:line="408" w:lineRule="exact"/>
              <w:ind w:left="0" w:right="0" w:firstLine="0"/>
              <w:jc w:val="left"/>
            </w:pPr>
            <w:r>
              <w:rPr>
                <w:rFonts w:ascii="Times New Roman" w:hAnsi="Times New Roman"/>
                <w:b/>
                <w:sz w:val="20"/>
              </w:rPr>
              <w:t xml:space="preserve">Offender Score</w:t>
            </w:r>
          </w:p>
          <w:p>
            <w:pPr>
              <w:spacing w:before="0" w:after="0" w:line="408" w:lineRule="exact"/>
              <w:ind w:left="0" w:right="0" w:firstLine="0"/>
              <w:jc w:val="left"/>
            </w:pPr>
            <w:r>
              <w:rPr>
                <w:rFonts w:ascii="Times New Roman" w:hAnsi="Times New Roman"/>
                <w:b/>
                <w:sz w:val="20"/>
              </w:rPr>
              <w:t xml:space="preserve">3 to 5</w:t>
            </w:r>
          </w:p>
        </w:tc>
        <w:tc>
          <w:tcPr>
            <w:tcW w:w="1215" w:type="dxa"/>
            <w:vAlign w:val="top"/>
          </w:tcPr>
          <w:p>
            <w:pPr>
              <w:spacing w:before="0" w:after="0" w:line="408" w:lineRule="exact"/>
              <w:ind w:left="0" w:right="0" w:firstLine="0"/>
              <w:jc w:val="left"/>
            </w:pPr>
            <w:r>
              <w:rPr>
                <w:rFonts w:ascii="Times New Roman" w:hAnsi="Times New Roman"/>
                <w:b/>
                <w:sz w:val="20"/>
              </w:rPr>
              <w:t xml:space="preserve">Offender Score</w:t>
            </w:r>
          </w:p>
          <w:p>
            <w:pPr>
              <w:spacing w:before="0" w:after="0" w:line="408" w:lineRule="exact"/>
              <w:ind w:left="0" w:right="0" w:firstLine="0"/>
              <w:jc w:val="left"/>
            </w:pPr>
            <w:r>
              <w:rPr>
                <w:rFonts w:ascii="Times New Roman" w:hAnsi="Times New Roman"/>
                <w:b/>
                <w:sz w:val="20"/>
              </w:rPr>
              <w:t xml:space="preserve">6 to 9 or more</w:t>
            </w:r>
          </w:p>
        </w:tc>
      </w:tr>
      <w:tr>
        <w:tc>
          <w:tcPr>
            <w:tcW w:w="1255" w:type="dxa"/>
            <w:vAlign w:val="top"/>
          </w:tcPr>
          <w:p>
            <w:pPr>
              <w:spacing w:before="0" w:after="0" w:line="408" w:lineRule="exact"/>
              <w:ind w:left="0" w:right="0" w:firstLine="0"/>
              <w:jc w:val="left"/>
            </w:pPr>
            <w:r>
              <w:rPr>
                <w:rFonts w:ascii="Times New Roman" w:hAnsi="Times New Roman"/>
                <w:b/>
                <w:sz w:val="20"/>
              </w:rPr>
              <w:t xml:space="preserve">III</w:t>
            </w:r>
          </w:p>
        </w:tc>
        <w:tc>
          <w:tcPr>
            <w:tcW w:w="1175" w:type="dxa"/>
            <w:vAlign w:val="top"/>
          </w:tcPr>
          <w:p>
            <w:pPr>
              <w:spacing w:before="0" w:after="0" w:line="408" w:lineRule="exact"/>
              <w:ind w:left="0" w:right="0" w:firstLine="0"/>
              <w:jc w:val="left"/>
            </w:pPr>
            <w:r>
              <w:rPr>
                <w:rFonts w:ascii="Times New Roman" w:hAnsi="Times New Roman"/>
                <w:sz w:val="20"/>
              </w:rPr>
              <w:t xml:space="preserve">51 to 68 months</w:t>
            </w:r>
          </w:p>
        </w:tc>
        <w:tc>
          <w:tcPr>
            <w:tcW w:w="1215" w:type="dxa"/>
            <w:vAlign w:val="top"/>
          </w:tcPr>
          <w:p>
            <w:pPr>
              <w:spacing w:before="0" w:after="0" w:line="408" w:lineRule="exact"/>
              <w:ind w:left="0" w:right="0" w:firstLine="0"/>
              <w:jc w:val="left"/>
            </w:pPr>
            <w:r>
              <w:rPr>
                <w:rFonts w:ascii="Times New Roman" w:hAnsi="Times New Roman"/>
                <w:sz w:val="20"/>
              </w:rPr>
              <w:t xml:space="preserve">68 + to 100 months</w:t>
            </w:r>
          </w:p>
        </w:tc>
        <w:tc>
          <w:tcPr>
            <w:tcW w:w="1215" w:type="dxa"/>
            <w:vAlign w:val="top"/>
          </w:tcPr>
          <w:p>
            <w:pPr>
              <w:spacing w:before="0" w:after="0" w:line="408" w:lineRule="exact"/>
              <w:ind w:left="0" w:right="0" w:firstLine="0"/>
              <w:jc w:val="left"/>
            </w:pPr>
            <w:r>
              <w:rPr>
                <w:rFonts w:ascii="Times New Roman" w:hAnsi="Times New Roman"/>
                <w:sz w:val="20"/>
              </w:rPr>
              <w:t xml:space="preserve">100 + to 120 months</w:t>
            </w:r>
          </w:p>
        </w:tc>
      </w:tr>
      <w:tr>
        <w:tc>
          <w:tcPr>
            <w:tcW w:w="1255" w:type="dxa"/>
            <w:vAlign w:val="top"/>
          </w:tcPr>
          <w:p>
            <w:pPr>
              <w:spacing w:before="0" w:after="0" w:line="408" w:lineRule="exact"/>
              <w:ind w:left="0" w:right="0" w:firstLine="0"/>
              <w:jc w:val="left"/>
            </w:pPr>
            <w:r>
              <w:rPr>
                <w:rFonts w:ascii="Times New Roman" w:hAnsi="Times New Roman"/>
                <w:b/>
                <w:sz w:val="20"/>
              </w:rPr>
              <w:t xml:space="preserve">II</w:t>
            </w:r>
          </w:p>
        </w:tc>
        <w:tc>
          <w:tcPr>
            <w:tcW w:w="1175" w:type="dxa"/>
            <w:vAlign w:val="top"/>
          </w:tcPr>
          <w:p>
            <w:pPr>
              <w:spacing w:before="0" w:after="0" w:line="408" w:lineRule="exact"/>
              <w:ind w:left="0" w:right="0" w:firstLine="0"/>
              <w:jc w:val="left"/>
            </w:pPr>
            <w:r>
              <w:rPr>
                <w:rFonts w:ascii="Times New Roman" w:hAnsi="Times New Roman"/>
                <w:sz w:val="20"/>
              </w:rPr>
              <w:t xml:space="preserve">12 + to 20 months</w:t>
            </w:r>
          </w:p>
        </w:tc>
        <w:tc>
          <w:tcPr>
            <w:tcW w:w="1215" w:type="dxa"/>
            <w:vAlign w:val="top"/>
          </w:tcPr>
          <w:p>
            <w:pPr>
              <w:spacing w:before="0" w:after="0" w:line="408" w:lineRule="exact"/>
              <w:ind w:left="0" w:right="0" w:firstLine="0"/>
              <w:jc w:val="left"/>
            </w:pPr>
            <w:r>
              <w:rPr>
                <w:rFonts w:ascii="Times New Roman" w:hAnsi="Times New Roman"/>
                <w:sz w:val="20"/>
              </w:rPr>
              <w:t xml:space="preserve">20 + to 60 months</w:t>
            </w:r>
          </w:p>
        </w:tc>
        <w:tc>
          <w:tcPr>
            <w:tcW w:w="1215" w:type="dxa"/>
            <w:vAlign w:val="top"/>
          </w:tcPr>
          <w:p>
            <w:pPr>
              <w:spacing w:before="0" w:after="0" w:line="408" w:lineRule="exact"/>
              <w:ind w:left="0" w:right="0" w:firstLine="0"/>
              <w:jc w:val="left"/>
            </w:pPr>
            <w:r>
              <w:rPr>
                <w:rFonts w:ascii="Times New Roman" w:hAnsi="Times New Roman"/>
                <w:sz w:val="20"/>
              </w:rPr>
              <w:t xml:space="preserve">60 + to 120 months</w:t>
            </w:r>
          </w:p>
        </w:tc>
      </w:tr>
      <w:tr>
        <w:tc>
          <w:tcPr>
            <w:tcW w:w="1255" w:type="dxa"/>
            <w:vAlign w:val="top"/>
          </w:tcPr>
          <w:p>
            <w:pPr>
              <w:spacing w:before="0" w:after="0" w:line="408" w:lineRule="exact"/>
              <w:ind w:left="0" w:right="0" w:firstLine="0"/>
              <w:jc w:val="left"/>
            </w:pPr>
            <w:r>
              <w:rPr>
                <w:rFonts w:ascii="Times New Roman" w:hAnsi="Times New Roman"/>
                <w:b/>
                <w:sz w:val="20"/>
              </w:rPr>
              <w:t xml:space="preserve">I</w:t>
            </w:r>
          </w:p>
        </w:tc>
        <w:tc>
          <w:tcPr>
            <w:tcW w:w="1175" w:type="dxa"/>
            <w:vAlign w:val="top"/>
          </w:tcPr>
          <w:p>
            <w:pPr>
              <w:spacing w:before="0" w:after="0" w:line="408" w:lineRule="exact"/>
              <w:ind w:left="0" w:right="0" w:firstLine="0"/>
              <w:jc w:val="left"/>
            </w:pPr>
            <w:r>
              <w:rPr>
                <w:rFonts w:ascii="Times New Roman" w:hAnsi="Times New Roman"/>
                <w:sz w:val="20"/>
              </w:rPr>
              <w:t xml:space="preserve">0 to 6 months</w:t>
            </w:r>
          </w:p>
        </w:tc>
        <w:tc>
          <w:tcPr>
            <w:tcW w:w="1215" w:type="dxa"/>
            <w:vAlign w:val="top"/>
          </w:tcPr>
          <w:p>
            <w:pPr>
              <w:spacing w:before="0" w:after="0" w:line="408" w:lineRule="exact"/>
              <w:ind w:left="0" w:right="0" w:firstLine="0"/>
              <w:jc w:val="left"/>
            </w:pPr>
            <w:r>
              <w:rPr>
                <w:rFonts w:ascii="Times New Roman" w:hAnsi="Times New Roman"/>
                <w:sz w:val="20"/>
              </w:rPr>
              <w:t xml:space="preserve">6 + to 18 months</w:t>
            </w:r>
          </w:p>
        </w:tc>
        <w:tc>
          <w:tcPr>
            <w:tcW w:w="1215" w:type="dxa"/>
            <w:vAlign w:val="top"/>
          </w:tcPr>
          <w:p>
            <w:pPr>
              <w:spacing w:before="0" w:after="0" w:line="408" w:lineRule="exact"/>
              <w:ind w:left="0" w:right="0" w:firstLine="0"/>
              <w:jc w:val="left"/>
            </w:pPr>
            <w:r>
              <w:rPr>
                <w:rFonts w:ascii="Times New Roman" w:hAnsi="Times New Roman"/>
                <w:sz w:val="20"/>
              </w:rPr>
              <w:t xml:space="preserve">12 + to 24 months</w:t>
            </w:r>
          </w:p>
        </w:tc>
      </w:tr>
    </w:tbl>
    <w:p>
      <w:pPr>
        <w:spacing w:before="0" w:after="0" w:line="408" w:lineRule="exact"/>
        <w:ind w:left="0" w:right="0" w:firstLine="0"/>
        <w:jc w:val="left"/>
      </w:pPr>
      <w:r>
        <w:rPr/>
        <w:t xml:space="preserve">References to months represent the standard sentence ranges. 12 +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w:t>
      </w:r>
      <w:r>
        <w:rPr>
          <w:strike/>
        </w:rPr>
        <w:t xml:space="preserve">RCW 2.28.170</w:t>
      </w:r>
      <w:r>
        <w:rPr/>
        <w:t xml:space="preserve">)) </w:t>
      </w:r>
      <w:r>
        <w:rPr>
          <w:u w:val="single"/>
        </w:rPr>
        <w:t xml:space="preserve">chapter 2.--- RCW (the new chapter created in section 12 of this act)</w:t>
      </w:r>
      <w:r>
        <w:rPr/>
        <w:t xml:space="preserve">.</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w:t>
      </w:r>
      <w:r>
        <w:rPr>
          <w:strike/>
        </w:rPr>
        <w:t xml:space="preserve">RCW 2.28.170(3)(b)</w:t>
      </w:r>
      <w:r>
        <w:rPr/>
        <w:t xml:space="preserve">)) </w:t>
      </w:r>
      <w:r>
        <w:rPr>
          <w:u w:val="single"/>
        </w:rPr>
        <w:t xml:space="preserve">section 3(3) of this act</w:t>
      </w:r>
      <w:r>
        <w:rPr/>
        <w:t xml:space="preserve">.</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2.28.170 (Drug courts) and 2013 2nd sp.s. c 4 s 952, 2013 2nd sp.s. c 4 s 951, 2013 c 257 s 5, 2009 c 445 s 2, 2006 c 339 s 106, 2005 c 504 s 504, 2002 c 290 s 13, &amp; 1999 c 197 s 9;</w:t>
      </w:r>
    </w:p>
    <w:p>
      <w:pPr>
        <w:spacing w:before="0" w:after="0" w:line="408" w:lineRule="exact"/>
        <w:ind w:left="0" w:right="0" w:firstLine="576"/>
        <w:jc w:val="left"/>
      </w:pPr>
      <w:r>
        <w:t>(2)</w:t>
      </w:r>
      <w:r>
        <w:rPr/>
        <w:t xml:space="preserve">RCW 2.28.175 (DUI courts) and 2013 2nd sp.s. c 35 s 2, 2013 c 257 s 6, 2012 c 183 s 1, &amp; 2011 c 293 s 10;</w:t>
      </w:r>
    </w:p>
    <w:p>
      <w:pPr>
        <w:spacing w:before="0" w:after="0" w:line="408" w:lineRule="exact"/>
        <w:ind w:left="0" w:right="0" w:firstLine="576"/>
        <w:jc w:val="left"/>
      </w:pPr>
      <w:r>
        <w:t>(3)</w:t>
      </w:r>
      <w:r>
        <w:rPr/>
        <w:t xml:space="preserve">RCW 2.28.180 (Mental health courts) and 2013 c 257 s 7, 2011 c 236 s 1, &amp; 2005 c 504 s 501;</w:t>
      </w:r>
    </w:p>
    <w:p>
      <w:pPr>
        <w:spacing w:before="0" w:after="0" w:line="408" w:lineRule="exact"/>
        <w:ind w:left="0" w:right="0" w:firstLine="576"/>
        <w:jc w:val="left"/>
      </w:pPr>
      <w:r>
        <w:t>(4)</w:t>
      </w:r>
      <w:r>
        <w:rPr/>
        <w:t xml:space="preserve">RCW 2.28.190 (DUI court, drug court, and mental health court may be combined) and 2013 c 257 s 8, 2011 c 293 s 11, &amp; 2005 c 504 s 502;</w:t>
      </w:r>
    </w:p>
    <w:p>
      <w:pPr>
        <w:spacing w:before="0" w:after="0" w:line="408" w:lineRule="exact"/>
        <w:ind w:left="0" w:right="0" w:firstLine="576"/>
        <w:jc w:val="left"/>
      </w:pPr>
      <w:r>
        <w:t>(5)</w:t>
      </w:r>
      <w:r>
        <w:rPr/>
        <w:t xml:space="preserve">RCW 13.40.700 (Juvenile gang courts—Minimum requirements— Admission—Individualized plan—Completion) and 2012 c 146 s 2;</w:t>
      </w:r>
    </w:p>
    <w:p>
      <w:pPr>
        <w:spacing w:before="0" w:after="0" w:line="408" w:lineRule="exact"/>
        <w:ind w:left="0" w:right="0" w:firstLine="576"/>
        <w:jc w:val="left"/>
      </w:pPr>
      <w:r>
        <w:t>(6)</w:t>
      </w:r>
      <w:r>
        <w:rPr/>
        <w:t xml:space="preserve">RCW 13.40.710 (Juvenile gang courts—Data—Reports) and 2012 c 146 s 3;</w:t>
      </w:r>
    </w:p>
    <w:p>
      <w:pPr>
        <w:spacing w:before="0" w:after="0" w:line="408" w:lineRule="exact"/>
        <w:ind w:left="0" w:right="0" w:firstLine="576"/>
        <w:jc w:val="left"/>
      </w:pPr>
      <w:r>
        <w:t>(7)</w:t>
      </w:r>
      <w:r>
        <w:rPr/>
        <w:t xml:space="preserve">RCW 26.12.250 (Therapeutic courts) and 2005 c 504 s 503;</w:t>
      </w:r>
    </w:p>
    <w:p>
      <w:pPr>
        <w:spacing w:before="0" w:after="0" w:line="408" w:lineRule="exact"/>
        <w:ind w:left="0" w:right="0" w:firstLine="576"/>
        <w:jc w:val="left"/>
      </w:pPr>
      <w:r>
        <w:t>(8)</w:t>
      </w:r>
      <w:r>
        <w:rPr/>
        <w:t xml:space="preserve">RCW 2.28.165 (Specialty and therapeutic courts—Establishment— Principles of best practices—Limitations) and 2013 c 257 s 2; and</w:t>
      </w:r>
    </w:p>
    <w:p>
      <w:pPr>
        <w:spacing w:before="0" w:after="0" w:line="408" w:lineRule="exact"/>
        <w:ind w:left="0" w:right="0" w:firstLine="576"/>
        <w:jc w:val="left"/>
      </w:pPr>
      <w:r>
        <w:t>(9)</w:t>
      </w:r>
      <w:r>
        <w:rPr/>
        <w:t xml:space="preserve"> RCW </w:t>
      </w:r>
      <w:r>
        <w:t xml:space="preserve">2</w:t>
      </w:r>
      <w:r>
        <w:rPr/>
        <w:t xml:space="preserve">.</w:t>
      </w:r>
      <w:r>
        <w:t xml:space="preserve">28</w:t>
      </w:r>
      <w:r>
        <w:rPr/>
        <w:t xml:space="preserve">.</w:t>
      </w:r>
      <w:r>
        <w:t xml:space="preserve">166</w:t>
      </w:r>
      <w:r>
        <w:rPr/>
        <w:t xml:space="preserve"> (Definition of "specialty court" and "therapeutic court") and 2013 c 257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7 of this act constitute a new chapter in Title 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2018.</w:t>
      </w:r>
    </w:p>
    <w:p/>
    <w:p>
      <w:pPr>
        <w:jc w:val="center"/>
      </w:pPr>
      <w:r>
        <w:rPr>
          <w:b/>
        </w:rPr>
        <w:t>--- END ---</w:t>
      </w:r>
    </w:p>
    <w:sectPr>
      <w:pgNumType w:start="1"/>
      <w:footerReference xmlns:r="http://schemas.openxmlformats.org/officeDocument/2006/relationships" r:id="R4934efdae0fd4c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6a33d7dcb148f8" /><Relationship Type="http://schemas.openxmlformats.org/officeDocument/2006/relationships/footer" Target="/word/footer.xml" Id="R4934efdae0fd4cb1" /></Relationships>
</file>