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0b18f44634e4e" /></Relationships>
</file>

<file path=word/document.xml><?xml version="1.0" encoding="utf-8"?>
<w:document xmlns:w="http://schemas.openxmlformats.org/wordprocessingml/2006/main">
  <w:body>
    <w:p>
      <w:r>
        <w:t>S-0046.1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5101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Padden and O'Ban</w:t>
      </w:r>
    </w:p>
    <w:p/>
    <w:p>
      <w:r>
        <w:rPr>
          <w:t xml:space="preserve">Read first time 01/14/15.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mental status evaluations; and amending RCW 9.94B.080.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94B</w:t>
      </w:r>
      <w:r>
        <w:rPr/>
        <w:t xml:space="preserve">.</w:t>
      </w:r>
      <w:r>
        <w:t xml:space="preserve">080</w:t>
      </w:r>
      <w:r>
        <w:rPr/>
        <w:t xml:space="preserve"> and 2008 c 231 s 53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court may order an offender whose sentence includes community placement or community supervision to undergo a mental status evaluation and to participate in available outpatient mental health treatment, if the court finds that reasonable grounds exist to believe that the offender is a mentally ill person as defined in RCW 71.24.025, and that this condition is likely to have influenced the offense. An order requiring mental status evaluation or treatment ((</w:t>
      </w:r>
      <w:r>
        <w:rPr>
          <w:strike/>
        </w:rPr>
        <w:t xml:space="preserve">must</w:t>
      </w:r>
      <w:r>
        <w:rPr/>
        <w:t xml:space="preserve">)) </w:t>
      </w:r>
      <w:r>
        <w:rPr>
          <w:u w:val="single"/>
        </w:rPr>
        <w:t xml:space="preserve">may</w:t>
      </w:r>
      <w:r>
        <w:rPr/>
        <w:t xml:space="preserve"> be based on a presentence report and, if applicable, mental status evaluations that have been filed with the court to determine the offender's competency or eligibility for a defense of insanity. The court may order additional evaluations at a later date if deemed appropriate.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c73291d01be4d7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5101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342b2e2d4757" /><Relationship Type="http://schemas.openxmlformats.org/officeDocument/2006/relationships/footer" Target="/word/footer.xml" Id="R0c73291d01be4d75" /></Relationships>
</file>