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f780bc4a5f4f76" /></Relationships>
</file>

<file path=word/document.xml><?xml version="1.0" encoding="utf-8"?>
<w:document xmlns:w="http://schemas.openxmlformats.org/wordprocessingml/2006/main">
  <w:body>
    <w:p>
      <w:r>
        <w:t>Z-0416.1</w:t>
      </w:r>
    </w:p>
    <w:p>
      <w:pPr>
        <w:jc w:val="center"/>
      </w:pPr>
      <w:r>
        <w:t>_______________________________________________</w:t>
      </w:r>
    </w:p>
    <w:p/>
    <w:p>
      <w:pPr>
        <w:jc w:val="center"/>
      </w:pPr>
      <w:r>
        <w:rPr>
          <w:b/>
        </w:rPr>
        <w:t>SENATE BILL 5096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Governor Inslee</w:t>
      </w:r>
    </w:p>
    <w:p/>
    <w:p>
      <w:r>
        <w:rPr>
          <w:t xml:space="preserve">Read first time 01/14/15.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43.160.080, 70.148.020, and 27.34.330; amending 2013 2nd sp.s. c 19 ss 1073, 1074, 1077, 1078, 1091, 1093, 1099, 1108, 1104, 1105, 2024, 2028, 3067, 3058, 3101, 3190, 3212, 5007, 5020, 5015, 5025, 5055, 5108, 5110, and 7043 (uncodified); amending 2013 3rd sp.s. c 1 s 3 (uncodified); reenacting and amending RCW 70.105D.070; adding new sections to 2013 2nd sp.s. c 19 (uncodified); creating a new section; repealing 2013 2nd sp.s. c 19 ss 7004 and 7013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2015, out of the several funds specified in this act.</w:t>
      </w:r>
    </w:p>
    <w:p>
      <w:pPr>
        <w:spacing w:before="240" w:after="0" w:line="408" w:lineRule="exact"/>
        <w:ind w:left="0" w:right="0" w:firstLine="0"/>
        <w:jc w:val="center"/>
      </w:pPr>
      <w:r>
        <w:rPr>
          <w:b/>
        </w:rPr>
        <w:t xml:space="preserve">PART 1</w:t>
      </w:r>
    </w:p>
    <w:p>
      <w:pPr>
        <w:spacing w:before="0" w:after="0" w:line="408" w:lineRule="exact"/>
        <w:ind w:left="0" w:right="0" w:firstLine="0"/>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w:t>
      </w:r>
      <w:r>
        <w:rPr/>
        <w:t xml:space="preserve">)) $4,400,000 </w:t>
      </w:r>
      <w:r>
        <w:rPr>
          <w:u w:val="single"/>
        </w:rPr>
        <w:t xml:space="preserve">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p>
    <w:tbl>
      <w:tblPr>
        <w:tblW w:w="0" w:type="auto"/>
        <w:jc w:val="center"/>
        <w:tcMar>
          <w:tblCellMar>
            <w:top w:w="0" w:type="dxa"/>
          </w:tblCellMar>
        </w:tcMar>
        <w:tcMar>
          <w:tblCellMar>
            <w:left w:w="70" w:type="dxa"/>
            <w:right w:w="70" w:type="dxa"/>
          </w:tblCellMar>
        </w:tcMar>
      </w:tblPr>
      <w:tblGrid>
        <w:gridCol w:w="7860"/>
        <w:gridCol w:w="204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04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04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0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04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04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04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04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0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04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04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04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04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04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04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04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04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0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04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04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04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04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14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14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14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14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14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14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14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14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14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14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Snohomish County Sheriff's Office South Precinct</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14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14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14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14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14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14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14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14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14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14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14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14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14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14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14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14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14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14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$8,827,000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$2,613,000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240" w:after="0" w:line="408" w:lineRule="exact"/>
        <w:ind w:left="0" w:right="0" w:firstLine="0"/>
        <w:jc w:val="center"/>
      </w:pPr>
      <w:r>
        <w:rPr>
          <w:b/>
        </w:rPr>
        <w:t xml:space="preserve">PART 2</w:t>
      </w:r>
    </w:p>
    <w:p>
      <w:pPr>
        <w:spacing w:before="0" w:after="0" w:line="408" w:lineRule="exact"/>
        <w:ind w:left="0" w:right="0" w:firstLine="0"/>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240" w:after="0" w:line="408" w:lineRule="exact"/>
        <w:ind w:left="0" w:right="0" w:firstLine="0"/>
        <w:jc w:val="center"/>
      </w:pPr>
      <w:r>
        <w:rPr>
          <w:b/>
        </w:rPr>
        <w:t xml:space="preserve">PART 3</w:t>
      </w:r>
    </w:p>
    <w:p>
      <w:pPr>
        <w:spacing w:before="0" w:after="0" w:line="408" w:lineRule="exact"/>
        <w:ind w:left="0" w:right="0" w:firstLine="0"/>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u w:val="single"/>
        </w:rPr>
        <w:t xml:space="preserve">$15,500,000</w:t>
      </w:r>
      <w:r>
        <w:rPr/>
        <w:t xml:space="preserve"> for fiscal year 2015 of the </w:t>
      </w:r>
      <w:r>
        <w:t>((</w:t>
      </w:r>
      <w:r>
        <w:rPr>
          <w:strike/>
        </w:rPr>
        <w:t xml:space="preserve">state building construction</w:t>
      </w:r>
      <w:r>
        <w:t>))</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$2,328,000</w:t>
      </w:r>
      <w:r>
        <w:t>))</w:t>
      </w:r>
    </w:p>
    <w:p>
      <w:pPr>
        <w:spacing w:before="0" w:after="0" w:line="408" w:lineRule="exact"/>
        <w:ind w:left="0" w:right="0" w:firstLine="0"/>
        <w:jc w:val="left"/>
        <w:tabs>
          <w:tab w:val="right" w:leader="none" w:pos="9936"/>
        </w:tabs>
      </w:pPr>
      <w:r>
        <w:tab/>
      </w:r>
      <w:r>
        <w:rPr>
          <w:u w:val="single"/>
        </w:rPr>
        <w:t xml:space="preserve">$2,244,000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240" w:after="0" w:line="408" w:lineRule="exact"/>
        <w:ind w:left="0" w:right="0" w:firstLine="0"/>
        <w:jc w:val="center"/>
      </w:pPr>
      <w:r>
        <w:rPr>
          <w:b/>
        </w:rPr>
        <w:t xml:space="preserve">PART 4</w:t>
      </w:r>
    </w:p>
    <w:p>
      <w:pPr>
        <w:spacing w:before="0" w:after="0" w:line="408" w:lineRule="exact"/>
        <w:ind w:left="0" w:right="0" w:firstLine="0"/>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p>
    <w:tbl>
      <w:tblPr>
        <w:tblW w:w="0" w:type="auto"/>
        <w:jc w:val="center"/>
        <w:tcMar>
          <w:tblCellMar>
            <w:top w:w="0" w:type="dxa"/>
          </w:tblCellMar>
        </w:tcMar>
        <w:tcMar>
          <w:tblCellMar>
            <w:left w:w="70" w:type="dxa"/>
            <w:right w:w="70" w:type="dxa"/>
          </w:tblCellMar>
        </w:tcMar>
      </w:tblPr>
      <w:tblGrid>
        <w:gridCol w:w="2400"/>
        <w:gridCol w:w="2400"/>
      </w:tblGrid>
      <w:tr>
        <w:tc>
          <w:tcPr>
            <w:tcW w:w="240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0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00" w:type="dxa"/>
            <w:vAlign w:val="top"/>
          </w:tcPr>
          <w:p>
            <w:pPr>
              <w:spacing w:before="0" w:after="0" w:line="408" w:lineRule="exact"/>
              <w:ind w:left="0" w:right="0" w:firstLine="0"/>
              <w:jc w:val="left"/>
            </w:pPr>
            <w:r>
              <w:rPr>
                <w:rFonts w:ascii="Times New Roman" w:hAnsi="Times New Roman"/>
                <w:sz w:val="20"/>
              </w:rPr>
              <w:t xml:space="preserve">0-200</w:t>
            </w:r>
          </w:p>
        </w:tc>
        <w:tc>
          <w:tcPr>
            <w:tcW w:w="240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00" w:type="dxa"/>
            <w:vAlign w:val="top"/>
          </w:tcPr>
          <w:p>
            <w:pPr>
              <w:spacing w:before="0" w:after="0" w:line="408" w:lineRule="exact"/>
              <w:ind w:left="0" w:right="0" w:firstLine="0"/>
              <w:jc w:val="left"/>
            </w:pPr>
            <w:r>
              <w:rPr>
                <w:rFonts w:ascii="Times New Roman" w:hAnsi="Times New Roman"/>
                <w:sz w:val="20"/>
              </w:rPr>
              <w:t xml:space="preserve">201-300</w:t>
            </w:r>
          </w:p>
        </w:tc>
        <w:tc>
          <w:tcPr>
            <w:tcW w:w="240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00" w:type="dxa"/>
            <w:vAlign w:val="top"/>
          </w:tcPr>
          <w:p>
            <w:pPr>
              <w:spacing w:before="0" w:after="0" w:line="408" w:lineRule="exact"/>
              <w:ind w:left="0" w:right="0" w:firstLine="0"/>
              <w:jc w:val="left"/>
            </w:pPr>
            <w:r>
              <w:rPr>
                <w:rFonts w:ascii="Times New Roman" w:hAnsi="Times New Roman"/>
                <w:sz w:val="20"/>
              </w:rPr>
              <w:t xml:space="preserve">301-or more</w:t>
            </w:r>
          </w:p>
        </w:tc>
        <w:tc>
          <w:tcPr>
            <w:tcW w:w="240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$100,593,000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240" w:after="0" w:line="408" w:lineRule="exact"/>
        <w:ind w:left="0" w:right="0" w:firstLine="0"/>
        <w:jc w:val="center"/>
      </w:pPr>
      <w:r>
        <w:rPr>
          <w:b/>
        </w:rPr>
        <w:t xml:space="preserve">PART 5</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$4,400,000 for fiscal year 2015</w:t>
      </w:r>
      <w:r>
        <w:tab/>
      </w:r>
      <w:r>
        <w:rPr>
          <w:u w:val="single"/>
        </w:rPr>
        <w:t xml:space="preserve">$4,400,000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rPr>
          <w:strike/>
        </w:rPr>
        <w:t xml:space="preserve">and</w:t>
      </w:r>
      <w:r>
        <w:rPr/>
        <w:t xml:space="preserve">))</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w:t>
      </w:r>
      <w:r>
        <w:rPr>
          <w:strike/>
        </w:rPr>
        <w:t xml:space="preserve">3159</w:t>
      </w:r>
      <w:r>
        <w:rPr/>
        <w:t xml:space="preserve">)) </w:t>
      </w:r>
      <w:r>
        <w:rPr>
          <w:u w:val="single"/>
        </w:rPr>
        <w:t xml:space="preserve">3160</w:t>
      </w:r>
      <w:r>
        <w:rPr/>
        <w:t xml:space="preserve">,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rPr>
          <w:strike/>
        </w:rPr>
        <w:t xml:space="preserve">(c)[(e)]</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rPr>
          <w:strike/>
        </w:rPr>
        <w:t xml:space="preserve">(c)[(e)]</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rPr>
          <w:strike/>
        </w:rPr>
        <w:t xml:space="preserve">(c)[(e)]</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w:t>
      </w:r>
      <w:r>
        <w:rPr>
          <w:strike/>
        </w:rPr>
        <w:t xml:space="preserve">(d) [(f)]</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u w:val="single"/>
        </w:rPr>
        <w:t xml:space="preserve">During the 2013-2015 biennium, sums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2nd sp.s. c 19 s 7004 (uncodified); and</w:t>
      </w:r>
    </w:p>
    <w:p>
      <w:pPr>
        <w:spacing w:before="0" w:after="0" w:line="408" w:lineRule="exact"/>
        <w:ind w:left="0" w:right="0" w:firstLine="576"/>
        <w:jc w:val="left"/>
      </w:pPr>
      <w:r>
        <w:rPr/>
        <w:t xml:space="preserve">(2) 2013 2nd sp.s. c 19 s 7013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a38175effa940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e10e6d810f49df" /><Relationship Type="http://schemas.openxmlformats.org/officeDocument/2006/relationships/footer" Target="/word/footer.xml" Id="R5a38175effa94034" /></Relationships>
</file>