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2343db6ca4e2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and Hargrove; by request of Governor Inslee)</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28B.115.070, 28C.04.535, 36.22.170, 36.22.179, 38.52.540, 41.05.130, 41.16.050, 41.26.802, 41.60.050, 41.80.010, 41.80.020, 43.08.190, 43.09.475, 43.43.839, 43.79.480, 43.79.495, 43.101.200, 43.101.220, 43.135.025, 43.155.050, 43.215.090, 43.320.110, 43.325.040, 43.330.250, 43.334.077, 43.350.070, 61.24.172, 66.08.170, 70.96A.350, 77.12.203, 79.64.040, 79.105.150, 82.08.160, 86.26.007, 88.02.650, and 69.50.540;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510, 511, 512, 513, 514, 515, 604, 605, 606, 607, 608, 609, 610, 611, 612, 614, 615, 616, 617, 619, 701, 704, 706, 708, 709, 710, 711, 801, 802, 803, and 805 (uncodified); amending 2013 2nd sp.s. c 4 ss 712 and 718 (uncodified); reenacting and amending RCW 41.50.110, 43.86A.060, and 70.105D.070; creating new sections; repealing 2014 c 221 s 707 (uncodified);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r>
        <w:rPr/>
        <w:t xml:space="preserve"> The state general fund expenditures in this act for fiscal years 2016 and 2017 constitute the state expenditure limit for the purposes of chapter 43.135 RCW.</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$33,453,000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$67,984,000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2015-17 work plan as necessary to efficiently manage workload.</w:t>
      </w:r>
    </w:p>
    <w:p>
      <w:pPr>
        <w:spacing w:before="0" w:after="0" w:line="408" w:lineRule="exact"/>
        <w:ind w:left="0" w:right="0" w:firstLine="576"/>
        <w:jc w:val="left"/>
      </w:pPr>
      <w:r>
        <w:rPr/>
        <w:t xml:space="preserve">(2) The committee shall conduct an analysis of how school districts use school days. The analysis must include:</w:t>
      </w:r>
    </w:p>
    <w:p>
      <w:pPr>
        <w:spacing w:before="0" w:after="0" w:line="408" w:lineRule="exact"/>
        <w:ind w:left="0" w:right="0" w:firstLine="576"/>
        <w:jc w:val="left"/>
      </w:pPr>
      <w:r>
        <w:rPr/>
        <w:t xml:space="preserve">(a) How school districts define classroom time, nonclassroom time, instructional time, noninstructional time, and any other definitions of how the school day is divided or used;</w:t>
      </w:r>
    </w:p>
    <w:p>
      <w:pPr>
        <w:spacing w:before="0" w:after="0" w:line="408" w:lineRule="exact"/>
        <w:ind w:left="0" w:right="0" w:firstLine="576"/>
        <w:jc w:val="left"/>
      </w:pPr>
      <w:r>
        <w:rPr/>
        <w:t xml:space="preserve">(b) Estimates of time in each category;</w:t>
      </w:r>
    </w:p>
    <w:p>
      <w:pPr>
        <w:spacing w:before="0" w:after="0" w:line="408" w:lineRule="exact"/>
        <w:ind w:left="0" w:right="0" w:firstLine="576"/>
        <w:jc w:val="left"/>
      </w:pPr>
      <w:r>
        <w:rPr/>
        <w:t xml:space="preserve">(c) How noninstructional time is distributed over the annual number of school days;</w:t>
      </w:r>
    </w:p>
    <w:p>
      <w:pPr>
        <w:spacing w:before="0" w:after="0" w:line="408" w:lineRule="exact"/>
        <w:ind w:left="0" w:right="0" w:firstLine="576"/>
        <w:jc w:val="left"/>
      </w:pPr>
      <w:r>
        <w:rPr/>
        <w:t xml:space="preserve">(d) When noninstructional hours occur;</w:t>
      </w:r>
    </w:p>
    <w:p>
      <w:pPr>
        <w:spacing w:before="0" w:after="0" w:line="408" w:lineRule="exact"/>
        <w:ind w:left="0" w:right="0" w:firstLine="576"/>
        <w:jc w:val="left"/>
      </w:pPr>
      <w:r>
        <w:rPr/>
        <w:t xml:space="preserve">(e) How noninstructional hours are used, including how much noninstructional time is devoted to professional development for the purposes of teacher and principal evaluation training or common core state standards training; and</w:t>
      </w:r>
    </w:p>
    <w:p>
      <w:pPr>
        <w:spacing w:before="0" w:after="0" w:line="408" w:lineRule="exact"/>
        <w:ind w:left="0" w:right="0" w:firstLine="576"/>
        <w:jc w:val="left"/>
      </w:pPr>
      <w:r>
        <w:rPr/>
        <w:t xml:space="preserve">(f) The extent to which the use of each category of time is identified or defined in collective bargaining agreements.</w:t>
      </w:r>
    </w:p>
    <w:p>
      <w:pPr>
        <w:spacing w:before="0" w:after="0" w:line="408" w:lineRule="exact"/>
        <w:ind w:left="0" w:right="0" w:firstLine="576"/>
        <w:jc w:val="left"/>
      </w:pPr>
      <w:r>
        <w:rPr/>
        <w:t xml:space="preserve">To the extent data is not available at the statewide level, the committee may use case studies or other methods to conduct the analysis. The committee shall submit a report of its findings to the education committees of the legislature by December 1, 2016.</w:t>
      </w:r>
    </w:p>
    <w:p>
      <w:pPr>
        <w:spacing w:before="0" w:after="0" w:line="408" w:lineRule="exact"/>
        <w:ind w:left="0" w:right="0" w:firstLine="576"/>
        <w:jc w:val="left"/>
      </w:pPr>
      <w:r>
        <w:rPr/>
        <w:t xml:space="preserve">(3)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0" w:after="0" w:line="408" w:lineRule="exact"/>
        <w:ind w:left="0" w:right="0" w:firstLine="576"/>
        <w:jc w:val="left"/>
      </w:pPr>
      <w:r>
        <w:rPr/>
        <w:t xml:space="preserve">(4) $307,000 of the performance audit of government account</w:t>
      </w:r>
      <w:r>
        <w:rPr>
          <w:rFonts w:ascii="Times New Roman" w:hAnsi="Times New Roman"/>
        </w:rPr>
        <w:t xml:space="preserve">—</w:t>
      </w:r>
      <w:r>
        <w:rPr/>
        <w:t xml:space="preserve">state appropriation is provided solely for the implementation of Engrossed Senate Bill No. 5944 (periodic review of new state spending programs). If the bill is not enacted by June 30, 2015, the amount provided in this subsection shall lapse.</w:t>
      </w:r>
    </w:p>
    <w:p>
      <w:pPr>
        <w:spacing w:before="0" w:after="0" w:line="408" w:lineRule="exact"/>
        <w:ind w:left="0" w:right="0" w:firstLine="576"/>
        <w:jc w:val="left"/>
      </w:pPr>
      <w:r>
        <w:rPr/>
        <w:t xml:space="preserve">(5) The joint legislative audit and review committee is directed to conduct an audit of the state medicaid fraud false claims act, chapter 74.66 RCW. The purpose of the audit is to examine the operation and performance of the medicaid fraud false claims act. A complete report with audit data and conclusions shall be provided to the appropriate committees of the legislature by December 1, 2015. The audit shall include data collection and analysis of the costs and revenues of the act. The audit must achieve the following:</w:t>
      </w:r>
    </w:p>
    <w:p>
      <w:pPr>
        <w:spacing w:before="0" w:after="0" w:line="408" w:lineRule="exact"/>
        <w:ind w:left="0" w:right="0" w:firstLine="576"/>
        <w:jc w:val="left"/>
      </w:pPr>
      <w:r>
        <w:rPr/>
        <w:t xml:space="preserve">(a) Determine the amount of recovery received by the state under the medicaid fraud false claims act. This information must include the total amounts recovered, amounts recovered by year, and amounts recovered in the following categories:</w:t>
      </w:r>
    </w:p>
    <w:p>
      <w:pPr>
        <w:spacing w:before="0" w:after="0" w:line="408" w:lineRule="exact"/>
        <w:ind w:left="0" w:right="0" w:firstLine="576"/>
        <w:jc w:val="left"/>
      </w:pPr>
      <w:r>
        <w:rPr/>
        <w:t xml:space="preserve">(i) Actions in which the state was part of larger federal action or multistate effort (e.g., through the national association of medicaid fraud control units);</w:t>
      </w:r>
    </w:p>
    <w:p>
      <w:pPr>
        <w:spacing w:before="0" w:after="0" w:line="408" w:lineRule="exact"/>
        <w:ind w:left="0" w:right="0" w:firstLine="576"/>
        <w:jc w:val="left"/>
      </w:pPr>
      <w:r>
        <w:rPr/>
        <w:t xml:space="preserve">(ii) Actions that the state undertook on its own;</w:t>
      </w:r>
    </w:p>
    <w:p>
      <w:pPr>
        <w:spacing w:before="0" w:after="0" w:line="408" w:lineRule="exact"/>
        <w:ind w:left="0" w:right="0" w:firstLine="576"/>
        <w:jc w:val="left"/>
      </w:pPr>
      <w:r>
        <w:rPr/>
        <w:t xml:space="preserve">(iii) Actions that the state undertook as a result of suit filed by </w:t>
      </w:r>
      <w:r>
        <w:rPr>
          <w:i/>
        </w:rPr>
        <w:t xml:space="preserve">qui tam</w:t>
      </w:r>
      <w:r>
        <w:rPr/>
        <w:t xml:space="preserve"> plaintiffs in which the state intervened; and</w:t>
      </w:r>
    </w:p>
    <w:p>
      <w:pPr>
        <w:spacing w:before="0" w:after="0" w:line="408" w:lineRule="exact"/>
        <w:ind w:left="0" w:right="0" w:firstLine="576"/>
        <w:jc w:val="left"/>
      </w:pPr>
      <w:r>
        <w:rPr/>
        <w:t xml:space="preserve">(iv) Actions that the state undertook as a result of suit filed by </w:t>
      </w:r>
      <w:r>
        <w:rPr>
          <w:i/>
        </w:rPr>
        <w:t xml:space="preserve">qui tam</w:t>
      </w:r>
      <w:r>
        <w:rPr/>
        <w:t xml:space="preserve"> plaintiffs in which the state did not intervene;</w:t>
      </w:r>
    </w:p>
    <w:p>
      <w:pPr>
        <w:spacing w:before="0" w:after="0" w:line="408" w:lineRule="exact"/>
        <w:ind w:left="0" w:right="0" w:firstLine="576"/>
        <w:jc w:val="left"/>
      </w:pPr>
      <w:r>
        <w:rPr/>
        <w:t xml:space="preserve">(b) Determine the number of </w:t>
      </w:r>
      <w:r>
        <w:rPr>
          <w:i/>
        </w:rPr>
        <w:t xml:space="preserve">qui tam</w:t>
      </w:r>
      <w:r>
        <w:rPr/>
        <w:t xml:space="preserve"> plaintiff suits filed, including the number of those in which the state intervened, the number of cases in which the state declined intervention, the number of cases in which the intervention decision is pending, the number of actions dismissed without recovery, the number of cases in which litigation is proceeding (after the intervention decision), and the number of cases in which the allegations have been dismissed as frivolous;</w:t>
      </w:r>
    </w:p>
    <w:p>
      <w:pPr>
        <w:spacing w:before="0" w:after="0" w:line="408" w:lineRule="exact"/>
        <w:ind w:left="0" w:right="0" w:firstLine="576"/>
        <w:jc w:val="left"/>
      </w:pPr>
      <w:r>
        <w:rPr/>
        <w:t xml:space="preserve">(c) Determine the amount of costs and attorneys' fees recovered by </w:t>
      </w:r>
      <w:r>
        <w:rPr>
          <w:i/>
        </w:rPr>
        <w:t xml:space="preserve">qui tam</w:t>
      </w:r>
      <w:r>
        <w:rPr/>
        <w:t xml:space="preserve"> plaintiffs in settlements versus amounts of costs and attorneys' fees recovered by defendants in actions involving </w:t>
      </w:r>
      <w:r>
        <w:rPr>
          <w:i/>
        </w:rPr>
        <w:t xml:space="preserve">qui tam</w:t>
      </w:r>
      <w:r>
        <w:rPr/>
        <w:t xml:space="preserve"> plaintiffs; and</w:t>
      </w:r>
    </w:p>
    <w:p>
      <w:pPr>
        <w:spacing w:before="0" w:after="0" w:line="408" w:lineRule="exact"/>
        <w:ind w:left="0" w:right="0" w:firstLine="576"/>
        <w:jc w:val="left"/>
      </w:pPr>
      <w:r>
        <w:rPr/>
        <w:t xml:space="preserve">(d) Assess whether the medicaid fraud false claims act is operating within legislative intent, is operating in an efficient manner, and is meeting any performance goals or targets.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$3,584,000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$8,573,000</w:t>
      </w:r>
    </w:p>
    <w:p>
      <w:pPr>
        <w:tabs>
          <w:tab w:val="right" w:leader="dot" w:pos="9936"/>
        </w:tabs>
        <w:ind w:left="0" w:right="0" w:firstLine="1440"/>
      </w:pPr>
      <w:r>
        <w:rPr/>
        <w:t xml:space="preserve">TOTAL APPROPRIATION</w:t>
      </w:r>
      <w:r>
        <w:tab/>
      </w:r>
      <w:r>
        <w:rPr/>
        <w:t xml:space="preserve">$17,408,000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$5,498,000</w:t>
      </w:r>
    </w:p>
    <w:p>
      <w:pPr>
        <w:spacing w:before="120" w:after="0" w:line="408" w:lineRule="exact"/>
        <w:ind w:left="0" w:right="0" w:firstLine="576"/>
        <w:jc w:val="left"/>
      </w:pPr>
      <w:r>
        <w:rPr/>
        <w:t xml:space="preserve">The appropriations in this section are subject to the following conditions and limitations: $296,000 of the general fund</w:t>
      </w:r>
      <w:r>
        <w:rPr>
          <w:rFonts w:ascii="Times New Roman" w:hAnsi="Times New Roman"/>
        </w:rPr>
        <w:t xml:space="preserve">—</w:t>
      </w:r>
      <w:r>
        <w:rPr/>
        <w:t xml:space="preserve">state appropriation for fiscal year 2016, $296,000 of the general fund</w:t>
      </w:r>
      <w:r>
        <w:rPr>
          <w:rFonts w:ascii="Times New Roman" w:hAnsi="Times New Roman"/>
        </w:rPr>
        <w:t xml:space="preserve">—</w:t>
      </w:r>
      <w:r>
        <w:rPr/>
        <w:t xml:space="preserve">state appropriation for fiscal year 2017, and $394,000 of the state health care administration account appropriation are to improve the legislature's access to independent and objective health care actuarial analysis for the state medicaid and public employee benefits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$4,128,000</w:t>
      </w:r>
    </w:p>
    <w:p>
      <w:pPr>
        <w:tabs>
          <w:tab w:val="right" w:leader="dot" w:pos="9936"/>
        </w:tabs>
        <w:ind w:left="0" w:right="0" w:firstLine="1440"/>
      </w:pPr>
      <w:r>
        <w:rPr/>
        <w:t xml:space="preserve">TOTAL APPROPRIATION</w:t>
      </w:r>
      <w:r>
        <w:tab/>
      </w:r>
      <w:r>
        <w:rPr/>
        <w:t xml:space="preserve">$7,868,000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$6,775,000</w:t>
      </w:r>
    </w:p>
    <w:p>
      <w:pPr>
        <w:tabs>
          <w:tab w:val="right" w:leader="dot" w:pos="9936"/>
        </w:tabs>
        <w:ind w:left="0" w:right="0" w:firstLine="1440"/>
      </w:pPr>
      <w:r>
        <w:rPr/>
        <w:t xml:space="preserve">TOTAL APPROPRIATION</w:t>
      </w:r>
      <w:r>
        <w:tab/>
      </w:r>
      <w:r>
        <w:rPr/>
        <w:t xml:space="preserve">$13,603,000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$17,170,000</w:t>
      </w:r>
    </w:p>
    <w:p>
      <w:pPr>
        <w:tabs>
          <w:tab w:val="right" w:leader="dot" w:pos="9936"/>
        </w:tabs>
        <w:ind w:left="0" w:right="0" w:firstLine="1440"/>
      </w:pPr>
      <w:r>
        <w:rPr/>
        <w:t xml:space="preserve">TOTAL APPROPRIATION</w:t>
      </w:r>
      <w:r>
        <w:tab/>
      </w:r>
      <w:r>
        <w:rPr/>
        <w:t xml:space="preserve">$33,634,000</w:t>
      </w:r>
    </w:p>
    <w:p>
      <w:pPr>
        <w:spacing w:before="120" w:after="0" w:line="408" w:lineRule="exact"/>
        <w:ind w:left="0" w:right="0" w:firstLine="576"/>
        <w:jc w:val="left"/>
      </w:pPr>
      <w:r>
        <w:rPr/>
        <w:t xml:space="preserve">The appropriations in this section are subject to the following conditions and limitations: $627,000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$53,228,000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$162,383,000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(5)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(6)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w:t>
      </w:r>
    </w:p>
    <w:p>
      <w:pPr>
        <w:spacing w:before="0" w:after="0" w:line="408" w:lineRule="exact"/>
        <w:ind w:left="0" w:right="0" w:firstLine="576"/>
        <w:jc w:val="left"/>
      </w:pPr>
      <w:r>
        <w:rPr/>
        <w:t xml:space="preserve">(7)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w:t>
      </w:r>
    </w:p>
    <w:p>
      <w:pPr>
        <w:spacing w:before="0" w:after="0" w:line="408" w:lineRule="exact"/>
        <w:ind w:left="0" w:right="0" w:firstLine="576"/>
        <w:jc w:val="left"/>
      </w:pPr>
      <w:r>
        <w:rPr/>
        <w:t xml:space="preserve">(8) $8,540,000 of the judicial information systems account</w:t>
      </w:r>
      <w:r>
        <w:rPr>
          <w:rFonts w:ascii="Times New Roman" w:hAnsi="Times New Roman"/>
        </w:rPr>
        <w:t xml:space="preserve">—</w:t>
      </w:r>
      <w:r>
        <w:rPr/>
        <w:t xml:space="preserve">state appropriation is provided solely for the development, expansion, and implementation of an information network hub project to allow state and local case management systems to share critical data in the judicial information system.</w:t>
      </w:r>
    </w:p>
    <w:p>
      <w:pPr>
        <w:spacing w:before="0" w:after="0" w:line="408" w:lineRule="exact"/>
        <w:ind w:left="0" w:right="0" w:firstLine="576"/>
        <w:jc w:val="left"/>
      </w:pPr>
      <w:r>
        <w:rPr/>
        <w:t xml:space="preserve">(9) $1,849,000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 in county courts and county clerk offices.</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spacing w:before="0" w:after="0" w:line="408" w:lineRule="exact"/>
        <w:ind w:left="0" w:right="0" w:firstLine="576"/>
        <w:jc w:val="left"/>
      </w:pPr>
      <w:r>
        <w:rPr/>
        <w:t xml:space="preserve">(11)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to provide demonstration grants to up to four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$36,153,000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$75,723,000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child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is provided solely to implement Second Substitute Senate Bill No. 5486 (parents to parents program).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to parents program can be considered evidence-based.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$12,326,000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$26,106,000</w:t>
      </w:r>
    </w:p>
    <w:p>
      <w:pPr>
        <w:spacing w:before="120" w:after="0" w:line="408" w:lineRule="exact"/>
        <w:ind w:left="0" w:right="0" w:firstLine="576"/>
        <w:jc w:val="left"/>
      </w:pPr>
      <w:r>
        <w:rPr/>
        <w:t xml:space="preserve">The appropriations in this section are subject to the following conditions and limitations: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as it implements this operational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$2,042,000</w:t>
      </w:r>
    </w:p>
    <w:p>
      <w:pPr>
        <w:tabs>
          <w:tab w:val="right" w:leader="dot" w:pos="9936"/>
        </w:tabs>
        <w:ind w:left="0" w:right="0" w:firstLine="1440"/>
      </w:pPr>
      <w:r>
        <w:rPr/>
        <w:t xml:space="preserve">TOTAL APPROPRIATION</w:t>
      </w:r>
      <w:r>
        <w:tab/>
      </w:r>
      <w:r>
        <w:rPr/>
        <w:t xml:space="preserve">$4,116,000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$8,421,000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$8,912,000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$6,569,000</w:t>
      </w:r>
    </w:p>
    <w:p>
      <w:pPr>
        <w:tabs>
          <w:tab w:val="right" w:leader="dot" w:pos="9936"/>
        </w:tabs>
        <w:ind w:left="0" w:right="0" w:firstLine="1440"/>
      </w:pPr>
      <w:r>
        <w:rPr/>
        <w:t xml:space="preserve">TOTAL APPROPRIATION</w:t>
      </w:r>
      <w:r>
        <w:tab/>
      </w:r>
      <w:r>
        <w:rPr/>
        <w:t xml:space="preserve">$81,376,000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$9,874,000</w:t>
      </w:r>
    </w:p>
    <w:p>
      <w:pPr>
        <w:tabs>
          <w:tab w:val="right" w:leader="dot" w:pos="9936"/>
        </w:tabs>
        <w:ind w:left="0" w:right="0" w:firstLine="1440"/>
      </w:pPr>
      <w:r>
        <w:rPr/>
        <w:t xml:space="preserve">TOTAL APPROPRIATION</w:t>
      </w:r>
      <w:r>
        <w:tab/>
      </w:r>
      <w:r>
        <w:rPr/>
        <w:t xml:space="preserve">$11,405,000</w:t>
      </w:r>
    </w:p>
    <w:p>
      <w:pPr>
        <w:spacing w:before="120" w:after="0" w:line="408" w:lineRule="exact"/>
        <w:ind w:left="0" w:right="0" w:firstLine="576"/>
        <w:jc w:val="left"/>
      </w:pPr>
      <w:r>
        <w:rPr/>
        <w:t xml:space="preserve">The appropriations in this section are subject to the following conditions and limitations: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$218,768,000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$2,131,000</w:t>
      </w:r>
    </w:p>
    <w:p>
      <w:pPr>
        <w:tabs>
          <w:tab w:val="right" w:leader="dot" w:pos="9936"/>
        </w:tabs>
        <w:ind w:left="0" w:right="0" w:firstLine="1440"/>
      </w:pPr>
      <w:r>
        <w:rPr/>
        <w:t xml:space="preserve">TOTAL APPROPRIATION</w:t>
      </w:r>
      <w:r>
        <w:tab/>
      </w:r>
      <w:r>
        <w:rPr/>
        <w:t xml:space="preserve">$254,443,000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$1,034,000 of the legal services revolving fund</w:t>
      </w:r>
      <w:r>
        <w:rPr>
          <w:rFonts w:ascii="Times New Roman" w:hAnsi="Times New Roman"/>
        </w:rPr>
        <w:t xml:space="preserve">—</w:t>
      </w:r>
      <w:r>
        <w:rPr/>
        <w:t xml:space="preserve">state appropriation is provided solely for the implementation of Second Substitute Senate Bill No. 5052 (cannabis patient protection act). If the bill is not enacted by June 30, 2015, the amount provided in this subsection shall lapse.</w:t>
      </w:r>
    </w:p>
    <w:p>
      <w:pPr>
        <w:spacing w:before="0" w:after="0" w:line="408" w:lineRule="exact"/>
        <w:ind w:left="0" w:right="0" w:firstLine="576"/>
        <w:jc w:val="left"/>
      </w:pPr>
      <w:r>
        <w:rPr/>
        <w:t xml:space="preserve">(5) $10,000 of the general fund</w:t>
      </w:r>
      <w:r>
        <w:rPr>
          <w:rFonts w:ascii="Times New Roman" w:hAnsi="Times New Roman"/>
        </w:rPr>
        <w:t xml:space="preserve">—</w:t>
      </w:r>
      <w:r>
        <w:rPr/>
        <w:t xml:space="preserve">state appropriation for fiscal year 2016, $61,000 of the general fund</w:t>
      </w:r>
      <w:r>
        <w:rPr>
          <w:rFonts w:ascii="Times New Roman" w:hAnsi="Times New Roman"/>
        </w:rPr>
        <w:t xml:space="preserve">—</w:t>
      </w:r>
      <w:r>
        <w:rPr/>
        <w:t xml:space="preserve">state appropriation for fiscal year 2017, and $55,000 of the legal services revolving fund—state appropriation are provided solely for the implementation of Engrossed Substitute Senate Bill No. 5321 (debt settlement services). If the bill is not enacted by June 30, 2015, the amounts provided in this subsection shall lapse.</w:t>
      </w:r>
    </w:p>
    <w:p>
      <w:pPr>
        <w:spacing w:before="0" w:after="0" w:line="408" w:lineRule="exact"/>
        <w:ind w:left="0" w:right="0" w:firstLine="576"/>
        <w:jc w:val="left"/>
      </w:pPr>
      <w:r>
        <w:rPr/>
        <w:t xml:space="preserve">(6) $42,000 of the legal services revolving fund</w:t>
      </w:r>
      <w:r>
        <w:rPr>
          <w:rFonts w:ascii="Times New Roman" w:hAnsi="Times New Roman"/>
        </w:rPr>
        <w:t xml:space="preserve">—</w:t>
      </w:r>
      <w:r>
        <w:rPr/>
        <w:t xml:space="preserve">state appropriation is provided solely for the implementation of Substitute Senate Bill No. 5740 (extended foster care). If the bill is not enacted by June 30, 2015, the amount provided in this subsection shall lapse.</w:t>
      </w:r>
    </w:p>
    <w:p>
      <w:pPr>
        <w:spacing w:before="0" w:after="0" w:line="408" w:lineRule="exact"/>
        <w:ind w:left="0" w:right="0" w:firstLine="576"/>
        <w:jc w:val="left"/>
      </w:pPr>
      <w:r>
        <w:rPr/>
        <w:t xml:space="preserve">(7) $101,000 of the legal services revolving fund</w:t>
      </w:r>
      <w:r>
        <w:rPr>
          <w:rFonts w:ascii="Times New Roman" w:hAnsi="Times New Roman"/>
        </w:rPr>
        <w:t xml:space="preserve">—</w:t>
      </w:r>
      <w:r>
        <w:rPr/>
        <w:t xml:space="preserve">state appropriation is provided solely for the implementation of Engrossed Senate Bill No. 5226 (public sector unions' financing). If the bill is not enacted by June 30, 2015, the amount provided in this subsection shall lapse.</w:t>
      </w:r>
    </w:p>
    <w:p>
      <w:pPr>
        <w:spacing w:before="0" w:after="0" w:line="408" w:lineRule="exact"/>
        <w:ind w:left="0" w:right="0" w:firstLine="576"/>
        <w:jc w:val="left"/>
      </w:pPr>
      <w:r>
        <w:rPr/>
        <w:t xml:space="preserve">(8) If, by December 31, 2015, the department of enterprise services and the office of financial management do not complete the competitive procurement under RCW 43.19.008(5) to determine if a private vendor should perform real estate services for state agencies, the office of attorney general shall suspend all payments to the department of enterprise services for real estate services. The office of attorney general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$1,639,000</w:t>
      </w:r>
    </w:p>
    <w:p>
      <w:pPr>
        <w:tabs>
          <w:tab w:val="right" w:leader="dot" w:pos="9936"/>
        </w:tabs>
        <w:ind w:left="0" w:right="0" w:firstLine="1440"/>
      </w:pPr>
      <w:r>
        <w:rPr/>
        <w:t xml:space="preserve">TOTAL APPROPRIATION</w:t>
      </w:r>
      <w:r>
        <w:tab/>
      </w:r>
      <w:r>
        <w:rPr/>
        <w:t xml:space="preserve">$3,226,000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$3,290,000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$28,848,000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$13,140,000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$2,937,000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$12,571,000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spacing w:before="0" w:after="0" w:line="408" w:lineRule="exact"/>
        <w:ind w:left="0" w:right="0" w:firstLine="0"/>
        <w:jc w:val="left"/>
        <w:tabs>
          <w:tab w:val="right" w:leader="dot" w:pos="9936"/>
        </w:tabs>
      </w:pPr>
      <w:r>
        <w:rPr/>
        <w:t xml:space="preserve">Asset Building Assistance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dot" w:pos="9936"/>
        </w:tabs>
      </w:pPr>
      <w:r>
        <w:rPr/>
        <w:t xml:space="preserve">Financial Services Regulation Account</w:t>
      </w:r>
      <w:r>
        <w:rPr>
          <w:rFonts w:ascii="Times New Roman" w:hAnsi="Times New Roman"/>
        </w:rPr>
        <w:t xml:space="preserve">—</w:t>
      </w:r>
      <w:r>
        <w:rPr/>
        <w:t xml:space="preserve">State Appropriation</w:t>
      </w:r>
      <w:r>
        <w:tab/>
      </w:r>
      <w:r>
        <w:rPr/>
        <w:t xml:space="preserve">$468,000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t xml:space="preserve">$461,347,000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(4)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(5)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(6) $2,949,000 of the general fund</w:t>
      </w:r>
      <w:r>
        <w:rPr>
          <w:rFonts w:ascii="Times New Roman" w:hAnsi="Times New Roman"/>
        </w:rPr>
        <w:t xml:space="preserve">—</w:t>
      </w:r>
      <w:r>
        <w:rPr/>
        <w:t xml:space="preserve">state appropriation for fiscal year 2016 and $2,949,000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(8)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purposes of purchasing contracted services to expand and promote the tourism industry in the state of Washington. If Senate Bill No. 5916 is enacted by June 30, 2015, the amounts provided in this subsection shall lapse.</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report the outcomes of the services by January 1st of each fiscal year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(10)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youth and families fund.</w:t>
      </w:r>
    </w:p>
    <w:p>
      <w:pPr>
        <w:spacing w:before="0" w:after="0" w:line="408" w:lineRule="exact"/>
        <w:ind w:left="0" w:right="0" w:firstLine="576"/>
        <w:jc w:val="left"/>
      </w:pPr>
      <w:r>
        <w:rPr/>
        <w:t xml:space="preserve">(11)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support key sectors and align existing economic development programs and priorities.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and report on outcomes and performance by January 1st of each fiscal year to the economic development committees of the legislature.</w:t>
      </w:r>
    </w:p>
    <w:p>
      <w:pPr>
        <w:spacing w:before="0" w:after="0" w:line="408" w:lineRule="exact"/>
        <w:ind w:left="0" w:right="0" w:firstLine="576"/>
        <w:jc w:val="left"/>
      </w:pPr>
      <w:r>
        <w:rPr/>
        <w:t xml:space="preserve">(12)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(14)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(15) The appropriations provided for homeless housing programs must conform to the requirements in this subsection:</w:t>
      </w:r>
    </w:p>
    <w:p>
      <w:pPr>
        <w:spacing w:before="0" w:after="0" w:line="408" w:lineRule="exact"/>
        <w:ind w:left="0" w:right="0" w:firstLine="576"/>
        <w:jc w:val="left"/>
      </w:pPr>
      <w:r>
        <w:rPr/>
        <w:t xml:space="preserve">(a) Households with minor children entering programs funded by home security funds shall have incomes at or below 50 percent of area median income adjusted for household size, and households without minor children entering programs funded by home security funds shall have incomes at or below 30 percent of area median income adjusted for household size. Unsheltered households entering programs with an expected enrollment of less than 90 days may be exempted from documentation of their income. At least 40 percent of the people provided housing assistance using home security funds shall be in households that include minor children. Homeless households including those enrolled in the temporary assistance for needy families program shall be given a preference when allocating limited home security fund resources. People provided housing assistance using home security funds that are not housed in drop-in shelter beds shall be required to have a housing stability plan with the goals of maximizing self-sufficiency, moving people into permanent and stable housing, and minimizing the amount and duration of public assistance provided.</w:t>
      </w:r>
    </w:p>
    <w:p>
      <w:pPr>
        <w:spacing w:before="0" w:after="0" w:line="408" w:lineRule="exact"/>
        <w:ind w:left="0" w:right="0" w:firstLine="576"/>
        <w:jc w:val="left"/>
      </w:pPr>
      <w:r>
        <w:rPr/>
        <w:t xml:space="preserve">(b) $512,000 of the general fund</w:t>
      </w:r>
      <w:r>
        <w:rPr>
          <w:rFonts w:ascii="Times New Roman" w:hAnsi="Times New Roman"/>
        </w:rPr>
        <w:t xml:space="preserve">—</w:t>
      </w:r>
      <w:r>
        <w:rPr/>
        <w:t xml:space="preserve">state appropriation for fiscal year 2016, $511,000 of the general fund</w:t>
      </w:r>
      <w:r>
        <w:rPr>
          <w:rFonts w:ascii="Times New Roman" w:hAnsi="Times New Roman"/>
        </w:rPr>
        <w:t xml:space="preserve">—</w:t>
      </w:r>
      <w:r>
        <w:rPr/>
        <w:t xml:space="preserve">state appropriation for fiscal year 2017, and $10,741,000 of the home security fund account</w:t>
      </w:r>
      <w:r>
        <w:rPr>
          <w:rFonts w:ascii="Times New Roman" w:hAnsi="Times New Roman"/>
        </w:rPr>
        <w:t xml:space="preserve">—</w:t>
      </w:r>
      <w:r>
        <w:rPr/>
        <w:t xml:space="preserve">state appropriation are provided solely for crisis residential centers, hope beds, and street youth services.</w:t>
      </w:r>
    </w:p>
    <w:p>
      <w:pPr>
        <w:spacing w:before="0" w:after="0" w:line="408" w:lineRule="exact"/>
        <w:ind w:left="0" w:right="0" w:firstLine="576"/>
        <w:jc w:val="left"/>
      </w:pPr>
      <w:r>
        <w:rPr/>
        <w:t xml:space="preserve">(16)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(18)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(19)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(20) $221,000 of the general fund</w:t>
      </w:r>
      <w:r>
        <w:rPr>
          <w:rFonts w:ascii="Times New Roman" w:hAnsi="Times New Roman"/>
        </w:rPr>
        <w:t xml:space="preserve">—</w:t>
      </w:r>
      <w:r>
        <w:rPr/>
        <w:t xml:space="preserve">state appropriation for fiscal year 2016, $213,000 of the general fund</w:t>
      </w:r>
      <w:r>
        <w:rPr>
          <w:rFonts w:ascii="Times New Roman" w:hAnsi="Times New Roman"/>
        </w:rPr>
        <w:t xml:space="preserve">—</w:t>
      </w:r>
      <w:r>
        <w:rPr/>
        <w:t xml:space="preserve">state appropriation for fiscal year 2017, and $433,000 of the home security fund account</w:t>
      </w:r>
      <w:r>
        <w:rPr>
          <w:rFonts w:ascii="Times New Roman" w:hAnsi="Times New Roman"/>
        </w:rPr>
        <w:t xml:space="preserve">—</w:t>
      </w:r>
      <w:r>
        <w:rPr/>
        <w:t xml:space="preserve">state appropriation are provided solely for implementation of Engrossed Second Substitute Senate Bill No. 5404 (youth homelessness). If the bill is not enacted by June 30, 2015, the amounts provided in this subsection shall lapse.</w:t>
      </w:r>
    </w:p>
    <w:p>
      <w:pPr>
        <w:spacing w:before="0" w:after="0" w:line="408" w:lineRule="exact"/>
        <w:ind w:left="0" w:right="0" w:firstLine="576"/>
        <w:jc w:val="left"/>
      </w:pPr>
      <w:r>
        <w:rPr/>
        <w:t xml:space="preserve">(21)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Substitute Senate Bill No. 5761 (industrial/manufacturing facilities). If the bill is not enacted by June 30, 2015, the amounts provided in this subsection shall lapse.</w:t>
      </w:r>
    </w:p>
    <w:p>
      <w:pPr>
        <w:spacing w:before="0" w:after="0" w:line="408" w:lineRule="exact"/>
        <w:ind w:left="0" w:right="0" w:firstLine="576"/>
        <w:jc w:val="left"/>
      </w:pPr>
      <w:r>
        <w:rPr/>
        <w:t xml:space="preserve">(22) $213,000 of the general fund</w:t>
      </w:r>
      <w:r>
        <w:rPr>
          <w:rFonts w:ascii="Times New Roman" w:hAnsi="Times New Roman"/>
        </w:rPr>
        <w:t xml:space="preserve">—</w:t>
      </w:r>
      <w:r>
        <w:rPr/>
        <w:t xml:space="preserve">state appropriation for fiscal year 2016 is provided solely for implementation of Engrossed Senate Bill No. 5874 (coal fired electric generation). If the bill is not enacted by June 30, 2015, the amount provided in this subsection shall lapse.</w:t>
      </w:r>
    </w:p>
    <w:p>
      <w:pPr>
        <w:spacing w:before="0" w:after="0" w:line="408" w:lineRule="exact"/>
        <w:ind w:left="0" w:right="0" w:firstLine="576"/>
        <w:jc w:val="left"/>
      </w:pPr>
      <w:r>
        <w:rPr/>
        <w:t xml:space="preserve">(23)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Engrossed Substitute Senate Bill No. 5884 (trafficking of persons). If the bill is not enacted by June 30, 2015, the amounts provided in this subsection shall lapse.</w:t>
      </w:r>
    </w:p>
    <w:p>
      <w:pPr>
        <w:spacing w:before="0" w:after="0" w:line="408" w:lineRule="exact"/>
        <w:ind w:left="0" w:right="0" w:firstLine="576"/>
        <w:jc w:val="left"/>
      </w:pPr>
      <w:r>
        <w:rPr/>
        <w:t xml:space="preserve">(24)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Substitute Senate Bill No. 5933 (trafficking of persons training). If the bill is not enacted by June 30, 2015, the amounts provided in this subsection shall lapse.</w:t>
      </w:r>
    </w:p>
    <w:p>
      <w:pPr>
        <w:spacing w:before="0" w:after="0" w:line="408" w:lineRule="exact"/>
        <w:ind w:left="0" w:right="0" w:firstLine="576"/>
        <w:jc w:val="left"/>
      </w:pPr>
      <w:r>
        <w:rPr/>
        <w:t xml:space="preserve">(25) $500,000 of the asset building assistance account</w:t>
      </w:r>
      <w:r>
        <w:rPr>
          <w:rFonts w:ascii="Times New Roman" w:hAnsi="Times New Roman"/>
        </w:rPr>
        <w:t xml:space="preserve">—</w:t>
      </w:r>
      <w:r>
        <w:rPr/>
        <w:t xml:space="preserve">state appropriation is provided solely for implementation of Engrossed Substitute Senate Bill No. 5899 (small consumer loans). If the bill is not enacted by June 30, 2015, the amount provided in this subsection shall lapse.</w:t>
      </w:r>
    </w:p>
    <w:p>
      <w:pPr>
        <w:spacing w:before="0" w:after="0" w:line="408" w:lineRule="exact"/>
        <w:ind w:left="0" w:right="0" w:firstLine="576"/>
        <w:jc w:val="left"/>
      </w:pPr>
      <w:r>
        <w:rPr/>
        <w:t xml:space="preserve">(26)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rPr/>
        <w:t xml:space="preserve">(28)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as a grant to the aerospace futures alliance and the Washington manufacturing and advanced technology institute to conduct research and develop strategies to align the aerospace supplier community with other manufacturing sectors and based on those activities develop customized training to build a skilled and stable aerospace workforce.</w:t>
      </w:r>
    </w:p>
    <w:p>
      <w:pPr>
        <w:spacing w:before="0" w:after="0" w:line="408" w:lineRule="exact"/>
        <w:ind w:left="0" w:right="0" w:firstLine="576"/>
        <w:jc w:val="left"/>
      </w:pPr>
      <w:r>
        <w:rPr/>
        <w:t xml:space="preserve">(29)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is provided solely as a grant to Safe Yakima Valley to coordinate community efforts for the prevention of alcohol, tobacco, drug use and violence.</w:t>
      </w:r>
    </w:p>
    <w:p>
      <w:pPr>
        <w:spacing w:before="0" w:after="0" w:line="408" w:lineRule="exact"/>
        <w:ind w:left="0" w:right="0" w:firstLine="576"/>
        <w:jc w:val="left"/>
      </w:pPr>
      <w:r>
        <w:rPr/>
        <w:t xml:space="preserve">(30)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rPr/>
        <w:t xml:space="preserve">(31)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t xml:space="preserve">(32)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rPr/>
        <w:t xml:space="preserve">(33)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long-term care ombuds program for a new priority response unit that will investigate complaints and notify state agencies, local government agencies, prosecutors, and other relevant parties of high-priority violations.</w:t>
      </w:r>
    </w:p>
    <w:p>
      <w:pPr>
        <w:spacing w:before="0" w:after="0" w:line="408" w:lineRule="exact"/>
        <w:ind w:left="0" w:right="0" w:firstLine="576"/>
        <w:jc w:val="left"/>
      </w:pPr>
      <w:r>
        <w:rPr/>
        <w:t xml:space="preserve">(34)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$15,500,000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$2,996,000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$376,000</w:t>
      </w:r>
    </w:p>
    <w:p>
      <w:pPr>
        <w:tabs>
          <w:tab w:val="right" w:leader="dot" w:pos="9936"/>
        </w:tabs>
        <w:ind w:left="0" w:right="0" w:firstLine="1440"/>
      </w:pPr>
      <w:r>
        <w:rPr/>
        <w:t xml:space="preserve">TOTAL APPROPRIATION</w:t>
      </w:r>
      <w:r>
        <w:tab/>
      </w:r>
      <w:r>
        <w:rPr/>
        <w:t xml:space="preserve">$79,787,000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$2,996,000 of the statewide information technology system development revolving account</w:t>
      </w:r>
      <w:r>
        <w:rPr>
          <w:rFonts w:ascii="Times New Roman" w:hAnsi="Times New Roman"/>
        </w:rPr>
        <w:t xml:space="preserve">—</w:t>
      </w:r>
      <w:r>
        <w:rPr/>
        <w:t xml:space="preserve">state appropriation is provided solely for debt service for the time, leave, and attendance system.</w:t>
      </w:r>
    </w:p>
    <w:p>
      <w:pPr>
        <w:spacing w:before="0" w:after="0" w:line="408" w:lineRule="exact"/>
        <w:ind w:left="0" w:right="0" w:firstLine="576"/>
        <w:jc w:val="left"/>
      </w:pPr>
      <w:r>
        <w:rPr/>
        <w:t xml:space="preserve">(2)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Senate Bill No. 5452 (early care and education system).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PERFORMANCE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$6,047,000</w:t>
      </w:r>
    </w:p>
    <w:p>
      <w:pPr>
        <w:tabs>
          <w:tab w:val="right" w:leader="dot" w:pos="9936"/>
        </w:tabs>
        <w:ind w:left="0" w:right="0" w:firstLine="1440"/>
      </w:pPr>
      <w:r>
        <w:rPr/>
        <w:t xml:space="preserve">TOTAL APPROPRIATION</w:t>
      </w:r>
      <w:r>
        <w:tab/>
      </w:r>
      <w:r>
        <w:rPr/>
        <w:t xml:space="preserve">$8,627,000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to implement Engrossed Second Substitute Senate Bill No. 5737 (office of performance management). If the bill is not enacted by June 30, 2015, the appropriations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$34,590,000</w:t>
      </w:r>
    </w:p>
    <w:p>
      <w:pPr>
        <w:spacing w:before="120" w:after="0" w:line="408" w:lineRule="exact"/>
        <w:ind w:left="0" w:right="0" w:firstLine="576"/>
        <w:jc w:val="left"/>
      </w:pPr>
      <w:r>
        <w:rPr/>
        <w:t xml:space="preserve">The appropriation in this section is subject to the following conditions and limitations: The hourly rate charged by the office of administrative hearings to state agencies for hearings services shall not exceed a rate that is equivalent to one hundred twenty dollars per hour.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$27,559,000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$248,000</w:t>
      </w:r>
    </w:p>
    <w:p>
      <w:pPr>
        <w:tabs>
          <w:tab w:val="right" w:leader="dot" w:pos="9936"/>
        </w:tabs>
        <w:ind w:left="0" w:right="0" w:firstLine="1440"/>
      </w:pPr>
      <w:r>
        <w:rPr/>
        <w:t xml:space="preserve">TOTAL APPROPRIATION</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$54,070,000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$98,000 of the department of retirement systems expense account</w:t>
      </w:r>
      <w:r>
        <w:rPr>
          <w:rFonts w:ascii="Times New Roman" w:hAnsi="Times New Roman"/>
        </w:rPr>
        <w:t xml:space="preserve">—</w:t>
      </w:r>
      <w:r>
        <w:rPr/>
        <w:t xml:space="preserve">state appropriation is provided solely for implementation of Senate Bill No. 5210 (Washington state patrol retirement system annuities). If the bill is not enacted by June 30, 2015, the amounts provided in this subsection shall lapse.</w:t>
      </w:r>
    </w:p>
    <w:p>
      <w:pPr>
        <w:spacing w:before="0" w:after="0" w:line="408" w:lineRule="exact"/>
        <w:ind w:left="0" w:right="0" w:firstLine="576"/>
        <w:jc w:val="left"/>
      </w:pPr>
      <w:r>
        <w:rPr/>
        <w:t xml:space="preserve">(2) $42,000 of the department of retirement systems expense account</w:t>
      </w:r>
      <w:r>
        <w:rPr>
          <w:rFonts w:ascii="Times New Roman" w:hAnsi="Times New Roman"/>
        </w:rPr>
        <w:t xml:space="preserve">—</w:t>
      </w:r>
      <w:r>
        <w:rPr/>
        <w:t xml:space="preserve">state appropriation is provided solely for implementation of Senate Bill No. 5873 (law enforcement officers and fire fighters retirement system plan 1 survivor option).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$107,456,000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$105,865,000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$6,377,000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$12,531,000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$0</w:t>
      </w:r>
    </w:p>
    <w:p>
      <w:pPr>
        <w:tabs>
          <w:tab w:val="right" w:leader="dot" w:pos="9936"/>
        </w:tabs>
        <w:ind w:left="0" w:right="0" w:firstLine="1440"/>
      </w:pPr>
      <w:r>
        <w:rPr/>
        <w:t xml:space="preserve">TOTAL APPROPRIATION</w:t>
      </w:r>
      <w:r>
        <w:tab/>
      </w:r>
      <w:r>
        <w:rPr/>
        <w:t xml:space="preserve">$237,463,000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$393,000 of the general fund</w:t>
      </w:r>
      <w:r>
        <w:rPr>
          <w:rFonts w:ascii="Times New Roman" w:hAnsi="Times New Roman"/>
        </w:rPr>
        <w:t xml:space="preserve">—</w:t>
      </w:r>
      <w:r>
        <w:rPr/>
        <w:t xml:space="preserve">state appropriation for fiscal year 2016 and $494,000 of the general fund</w:t>
      </w:r>
      <w:r>
        <w:rPr>
          <w:rFonts w:ascii="Times New Roman" w:hAnsi="Times New Roman"/>
        </w:rPr>
        <w:t xml:space="preserve">—</w:t>
      </w:r>
      <w:r>
        <w:rPr/>
        <w:t xml:space="preserve">state appropriation for fiscal year 2017 are provided solely for implementation of Substitute Senate Bill No. 5189 (disabled veterans and seniors). If the bill is not enacted by June 30, 2015, the amounts provided in this subsection shall lapse.</w:t>
      </w:r>
    </w:p>
    <w:p>
      <w:pPr>
        <w:spacing w:before="0" w:after="0" w:line="408" w:lineRule="exact"/>
        <w:ind w:left="0" w:right="0" w:firstLine="576"/>
        <w:jc w:val="left"/>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revenue shall suspend all payments to the department of enterprise services for real estate services. The department of revenue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0" w:after="0" w:line="408" w:lineRule="exact"/>
        <w:ind w:left="0" w:right="0" w:firstLine="576"/>
        <w:jc w:val="left"/>
      </w:pPr>
      <w:r>
        <w:rPr/>
        <w:t xml:space="preserve">(3) $13,000 of the general fund</w:t>
      </w:r>
      <w:r>
        <w:rPr>
          <w:rFonts w:ascii="Times New Roman" w:hAnsi="Times New Roman"/>
        </w:rPr>
        <w:t xml:space="preserve">—</w:t>
      </w:r>
      <w:r>
        <w:rPr/>
        <w:t xml:space="preserve">state appropriation for fiscal year 2016 is provided solely for the implementation of Senate Bill No. 5904 (forest derived biomass).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$54,125,000</w:t>
      </w:r>
    </w:p>
    <w:p>
      <w:pPr>
        <w:tabs>
          <w:tab w:val="right" w:leader="dot" w:pos="9936"/>
        </w:tabs>
        <w:ind w:left="0" w:right="0" w:firstLine="1440"/>
      </w:pPr>
      <w:r>
        <w:rPr/>
        <w:t xml:space="preserve">TOTAL APPROPRIATION</w:t>
      </w:r>
      <w:r>
        <w:tab/>
      </w:r>
      <w:r>
        <w:rPr/>
        <w:t xml:space="preserve">$59,180,000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insurance commissioner shall consider, within his or her planned formulary transparency rulemaking, disclosure requirements for provider compensation programs paid by carriers for providing certain medications, including any incentive or penalty programs.</w:t>
      </w:r>
    </w:p>
    <w:p>
      <w:pPr>
        <w:spacing w:before="0" w:after="0" w:line="408" w:lineRule="exact"/>
        <w:ind w:left="0" w:right="0" w:firstLine="576"/>
        <w:jc w:val="left"/>
      </w:pPr>
      <w:r>
        <w:rPr/>
        <w:t xml:space="preserve">(2) $272,000 of the insurance commissioners regulatory account</w:t>
      </w:r>
      <w:r>
        <w:rPr>
          <w:rFonts w:ascii="Times New Roman" w:hAnsi="Times New Roman"/>
        </w:rPr>
        <w:t xml:space="preserve">—</w:t>
      </w:r>
      <w:r>
        <w:rPr/>
        <w:t xml:space="preserve">state appropriation is provided solely for the implementation of Senate Bill No. 5717 (insurance company holding act). If the bill is not enacted by June 30, 2015, the amount provided in this subsection shall lapse.</w:t>
      </w:r>
    </w:p>
    <w:p>
      <w:pPr>
        <w:spacing w:before="0" w:after="0" w:line="408" w:lineRule="exact"/>
        <w:ind w:left="0" w:right="0" w:firstLine="576"/>
        <w:jc w:val="left"/>
      </w:pPr>
      <w:r>
        <w:rPr/>
        <w:t xml:space="preserve">(3) $25,000 of the insurance commissioners regulatory account</w:t>
      </w:r>
      <w:r>
        <w:rPr>
          <w:rFonts w:ascii="Times New Roman" w:hAnsi="Times New Roman"/>
        </w:rPr>
        <w:t xml:space="preserve">—</w:t>
      </w:r>
      <w:r>
        <w:rPr/>
        <w:t xml:space="preserve">state appropriation is provided solely for the implementation of Substitute Senate Bill No. 5023 (group health benefit plans). If the bill is not enacted by June 30, 2015, the amount provided in this subsection shall lapse.</w:t>
      </w:r>
    </w:p>
    <w:p>
      <w:pPr>
        <w:spacing w:before="0" w:after="0" w:line="408" w:lineRule="exact"/>
        <w:ind w:left="0" w:right="0" w:firstLine="576"/>
        <w:jc w:val="left"/>
      </w:pPr>
      <w:r>
        <w:rPr/>
        <w:t xml:space="preserve">(4) $143,000 of the insurance commissioners regulatory account</w:t>
      </w:r>
      <w:r>
        <w:rPr>
          <w:rFonts w:ascii="Times New Roman" w:hAnsi="Times New Roman"/>
        </w:rPr>
        <w:t xml:space="preserve">—</w:t>
      </w:r>
      <w:r>
        <w:rPr/>
        <w:t xml:space="preserve"> state appropriation is provided solely for the implementation of Senate Bill No. 5180 (life insurance reserves). If the bill is not enacted by June 30, 2015, the amount provided in this subsection shall lapse.</w:t>
      </w:r>
    </w:p>
    <w:p>
      <w:pPr>
        <w:spacing w:before="0" w:after="0" w:line="408" w:lineRule="exact"/>
        <w:ind w:left="0" w:right="0" w:firstLine="576"/>
        <w:jc w:val="left"/>
      </w:pPr>
      <w:r>
        <w:rPr/>
        <w:t xml:space="preserve">(5) $1,618,000 of the insurance commissioners regulatory account</w:t>
      </w:r>
      <w:r>
        <w:rPr>
          <w:rFonts w:ascii="Times New Roman" w:hAnsi="Times New Roman"/>
        </w:rPr>
        <w:t xml:space="preserve">—</w:t>
      </w:r>
      <w:r>
        <w:rPr/>
        <w:t xml:space="preserve"> state appropriation is provided solely for the implementation of Engrossed Senate Substitute Bill No. 5857 (pharmacy benefit managers).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$7,368,000</w:t>
      </w:r>
    </w:p>
    <w:p>
      <w:pPr>
        <w:spacing w:before="120" w:after="0" w:line="408" w:lineRule="exact"/>
        <w:ind w:left="0" w:right="0" w:firstLine="576"/>
        <w:jc w:val="left"/>
      </w:pPr>
      <w:r>
        <w:rPr/>
        <w:t xml:space="preserve">The appropriations in this section are subject to the following conditions and limitations: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$61,267,000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$78,530,000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$185,000 of the general fund</w:t>
      </w:r>
      <w:r>
        <w:rPr>
          <w:rFonts w:ascii="Times New Roman" w:hAnsi="Times New Roman"/>
        </w:rPr>
        <w:t xml:space="preserve">—</w:t>
      </w:r>
      <w:r>
        <w:rPr/>
        <w:t xml:space="preserve">state appropriation for fiscal year 2016 is provided solely for the liquor control board to contract with the cannabis law and policy project within the University of Washington school of law. The liquor control board, in conjunction with the department of health, must contract with the cannabis law and policy project to develop best practices for regulating Washington's marijuana industry. Specific deliverables must be negotiated around a scope of work which may include any of the following: Recommendations regarding the nature and requirements of the proposed medical marijuana endorsement; medical cannabis inventory requirements; recommendations regarding the structure of food, drug, dietary supplements, and health and beauty aid labeling and claims; an assessment of legal liability related to advice dispensed by licensees; recommendations regarding the legal/regulatory structures for certification of medical marijuana consultants; recommendations related to disclaimers and waivers of liability related to dispensing of cannabis for medicinal purposes; and any other taxes negotiated by the liquor control board and department of health related to the implementation of Second Substitute Senate Bill No. 5052.</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June 30, 2015, the amount provided in this subsection shall lapse.</w:t>
      </w:r>
    </w:p>
    <w:p>
      <w:pPr>
        <w:spacing w:before="0" w:after="0" w:line="408" w:lineRule="exact"/>
        <w:ind w:left="0" w:right="0" w:firstLine="576"/>
        <w:jc w:val="left"/>
      </w:pPr>
      <w:r>
        <w:rPr/>
        <w:t xml:space="preserve">(3) $1,725,000 of the general fund</w:t>
      </w:r>
      <w:r>
        <w:rPr>
          <w:rFonts w:ascii="Times New Roman" w:hAnsi="Times New Roman"/>
        </w:rPr>
        <w:t xml:space="preserve">—</w:t>
      </w:r>
      <w:r>
        <w:rPr/>
        <w:t xml:space="preserve">state appropriation for fiscal year 2016 and $2,568,000 of the general fund</w:t>
      </w:r>
      <w:r>
        <w:rPr>
          <w:rFonts w:ascii="Times New Roman" w:hAnsi="Times New Roman"/>
        </w:rPr>
        <w:t xml:space="preserve">—</w:t>
      </w:r>
      <w:r>
        <w:rPr/>
        <w:t xml:space="preserve">state appropriation for fiscal year 2017 are provided solely for implementation of Second Substitute Senate Bill No. 5052 (medical marijuana). If the bill is not enacted by June 30, 2015, the amounts provided in this subsection shall lapse.</w:t>
      </w:r>
    </w:p>
    <w:p>
      <w:pPr>
        <w:spacing w:before="0" w:after="0" w:line="408" w:lineRule="exact"/>
        <w:ind w:left="0" w:right="0" w:firstLine="576"/>
        <w:jc w:val="left"/>
      </w:pPr>
      <w:r>
        <w:rPr/>
        <w:t xml:space="preserve">(4)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$35,473,000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$51,839,000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$88,000 of the general fund—state appropriation for fiscal year 2016 and $88,000 of the general fund—state appropriation for fiscal year 2017 are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t xml:space="preserve">(e) $669,000 of the public services revolving account</w:t>
      </w:r>
      <w:r>
        <w:rPr>
          <w:rFonts w:ascii="Times New Roman" w:hAnsi="Times New Roman"/>
        </w:rPr>
        <w:t xml:space="preserve">—</w:t>
      </w:r>
      <w:r>
        <w:rPr/>
        <w:t xml:space="preserve">state appropriation is provided solely for the implementation of Engrossed Second Substitute Senate Bill No. 5057 (hazardous material transport).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$57,462,000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$2,860,000</w:t>
      </w:r>
    </w:p>
    <w:p>
      <w:pPr>
        <w:tabs>
          <w:tab w:val="right" w:leader="dot" w:pos="9936"/>
        </w:tabs>
        <w:ind w:left="0" w:right="0" w:firstLine="1440"/>
      </w:pPr>
      <w:r>
        <w:rPr/>
        <w:t xml:space="preserve">TOTAL APPROPRIATION</w:t>
      </w:r>
      <w:r>
        <w:tab/>
      </w:r>
      <w:r>
        <w:rPr/>
        <w:t xml:space="preserve">$300,194,000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$19,789,000 of the disaster response account</w:t>
      </w:r>
      <w:r>
        <w:rPr>
          <w:rFonts w:ascii="Times New Roman" w:hAnsi="Times New Roman"/>
        </w:rPr>
        <w:t xml:space="preserve">—</w:t>
      </w:r>
      <w:r>
        <w:rPr/>
        <w:t xml:space="preserve">state appropriation and $75,870,000 of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(4) $178,000 of the enhanced 911 fund</w:t>
      </w:r>
      <w:r>
        <w:rPr>
          <w:rFonts w:ascii="Times New Roman" w:hAnsi="Times New Roman"/>
        </w:rPr>
        <w:t xml:space="preserve">—</w:t>
      </w:r>
      <w:r>
        <w:rPr/>
        <w:t xml:space="preserve">state appropriation is provided solely for implementation of Senate Bill No. 5020 (continuity of operations). If the bill is not enacted by June 30, 2015, the amounts provided in this subsection shall lapse.</w:t>
      </w:r>
    </w:p>
    <w:p>
      <w:pPr>
        <w:spacing w:before="0" w:after="0" w:line="408" w:lineRule="exact"/>
        <w:ind w:left="0" w:right="0" w:firstLine="576"/>
        <w:jc w:val="left"/>
      </w:pPr>
      <w:r>
        <w:rPr/>
        <w:t xml:space="preserve">(5) $39,000 of the worker and community right-to-know account</w:t>
      </w:r>
      <w:r>
        <w:rPr>
          <w:rFonts w:ascii="Times New Roman" w:hAnsi="Times New Roman"/>
        </w:rPr>
        <w:t xml:space="preserve">—</w:t>
      </w:r>
      <w:r>
        <w:rPr/>
        <w:t xml:space="preserve">state appropriation is provided solely for implementation of Engrossed Second Substitute Senate Bill No. 5057 (hazardous material transport). If the bill is not enacted by June 30, 2015, the amounts provided in this subsection shall lapse.</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$1,940,000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$3,349,000</w:t>
      </w:r>
    </w:p>
    <w:p>
      <w:pPr>
        <w:tabs>
          <w:tab w:val="right" w:leader="dot" w:pos="9936"/>
        </w:tabs>
        <w:ind w:left="0" w:right="0" w:firstLine="1440"/>
      </w:pPr>
      <w:r>
        <w:rPr/>
        <w:t xml:space="preserve">TOTAL APPROPRIATION</w:t>
      </w:r>
      <w:r>
        <w:tab/>
      </w:r>
      <w:r>
        <w:rPr/>
        <w:t xml:space="preserve">$8,206,000</w:t>
      </w:r>
    </w:p>
    <w:p>
      <w:pPr>
        <w:spacing w:before="120" w:after="0" w:line="408" w:lineRule="exact"/>
        <w:ind w:left="0" w:right="0" w:firstLine="576"/>
        <w:jc w:val="left"/>
      </w:pPr>
      <w:r>
        <w:rPr/>
        <w:t xml:space="preserve">The appropriations in this section are subject to the following conditions and limitations: $83,000 of the general fund</w:t>
      </w:r>
      <w:r>
        <w:rPr>
          <w:rFonts w:ascii="Times New Roman" w:hAnsi="Times New Roman"/>
        </w:rPr>
        <w:t xml:space="preserve">—</w:t>
      </w:r>
      <w:r>
        <w:rPr/>
        <w:t xml:space="preserve">state appropriation for fiscal year 2016 and $155,000 of the general fund</w:t>
      </w:r>
      <w:r>
        <w:rPr>
          <w:rFonts w:ascii="Times New Roman" w:hAnsi="Times New Roman"/>
        </w:rPr>
        <w:t xml:space="preserve">—</w:t>
      </w:r>
      <w:r>
        <w:rPr/>
        <w:t xml:space="preserve">state appropriation for fiscal year 2017 are provided solely for implementation of Senate Bill No. 5226 (public sector union financial reporting).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$6,021,000</w:t>
      </w:r>
    </w:p>
    <w:p>
      <w:pPr>
        <w:spacing w:before="120" w:after="0" w:line="408" w:lineRule="exact"/>
        <w:ind w:left="0" w:right="0" w:firstLine="576"/>
        <w:jc w:val="left"/>
      </w:pPr>
      <w:r>
        <w:rPr/>
        <w:t xml:space="preserve">The appropriations in this section are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scholarships at Washington-based colleges and universities for students pursuing degrees in accounting or taxation as provided in Substitute Senate Bill No. 5534. If the bill is not enacted by June 30, 2015, the amount provided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$1,295,000</w:t>
      </w:r>
    </w:p>
    <w:p>
      <w:pPr>
        <w:tabs>
          <w:tab w:val="right" w:leader="dot" w:pos="9936"/>
        </w:tabs>
        <w:ind w:left="0" w:right="0" w:firstLine="1440"/>
      </w:pPr>
      <w:r>
        <w:rPr/>
        <w:t xml:space="preserve">TOTAL APPROPRIATION</w:t>
      </w:r>
      <w:r>
        <w:tab/>
      </w:r>
      <w:r>
        <w:rPr/>
        <w:t xml:space="preserve">$7,856,000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$2,847,000 of the general fund</w:t>
      </w:r>
      <w:r>
        <w:rPr>
          <w:rFonts w:ascii="Times New Roman" w:hAnsi="Times New Roman"/>
        </w:rPr>
        <w:t xml:space="preserve">—</w:t>
      </w:r>
      <w:r>
        <w:rPr/>
        <w:t xml:space="preserve">state appropriation for fiscal year 2016, $3,585,000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(4) $62,000 of the building code council account</w:t>
      </w:r>
      <w:r>
        <w:rPr>
          <w:rFonts w:ascii="Times New Roman" w:hAnsi="Times New Roman"/>
        </w:rPr>
        <w:t xml:space="preserve">—</w:t>
      </w:r>
      <w:r>
        <w:rPr/>
        <w:t xml:space="preserve">state appropriation is provided solely to implement Engrossed Substitute Senate Bill No. 5804 (state energy code). If the bill is not enacted by June 30, 2015, the amount provided in this subsection shall lapse.</w:t>
      </w:r>
    </w:p>
    <w:p>
      <w:pPr>
        <w:spacing w:before="0" w:after="0" w:line="408" w:lineRule="exact"/>
        <w:ind w:left="0" w:right="0" w:firstLine="576"/>
        <w:jc w:val="left"/>
      </w:pPr>
      <w:r>
        <w:rPr/>
        <w:t xml:space="preserve">(5) Appropriations to state agencies in this act have been revised to reflect the transfer of personnel services and risk management functions at the department of enterprise services to the office of financial management on July 1, 2015, pursuant to Substitute Senate Bill No. 5315. The department is prohibited from charging agencies for these services.</w:t>
      </w:r>
    </w:p>
    <w:p>
      <w:pPr>
        <w:spacing w:before="0" w:after="0" w:line="408" w:lineRule="exact"/>
        <w:ind w:left="0" w:right="0" w:firstLine="576"/>
        <w:jc w:val="left"/>
      </w:pPr>
      <w:r>
        <w:rPr/>
        <w:t xml:space="preserve">(6) The department shall enter into competitive procurements for the purpose of entering into a master contracts for the provision of video remote interpreter services by June 30, 2016.</w:t>
      </w:r>
    </w:p>
    <w:p>
      <w:pPr>
        <w:spacing w:before="0" w:after="0" w:line="408" w:lineRule="exact"/>
        <w:ind w:left="0" w:right="0" w:firstLine="576"/>
        <w:jc w:val="left"/>
      </w:pPr>
      <w:r>
        <w:rPr/>
        <w:t xml:space="preserve">(a) One procurement must be for the purpose of providing video remote interpreter services in a medical or health care setting. The procurement must be modeled on the existing contract entered into by the department of labor and industries for video remote interpreter services. The department must consult with the departments of corrections, social and health services, labor and industries, and other state agencies that currently use interpreters in a medical or health care setting during the procurement process to ensure the master contract will meet their needs.</w:t>
      </w:r>
    </w:p>
    <w:p>
      <w:pPr>
        <w:spacing w:before="0" w:after="0" w:line="408" w:lineRule="exact"/>
        <w:ind w:left="0" w:right="0" w:firstLine="576"/>
        <w:jc w:val="left"/>
      </w:pPr>
      <w:r>
        <w:rPr/>
        <w:t xml:space="preserve">(b) One procurement must be for the purpose of providing video remote interpreter services generally. The master contract must be made available to all eligible users of the department's contracts. However, the primary purpose of the procurement is to assist local public schools with compliance with federal guidance on the provision of language access services by limited-English proficient parents of students. The department must consult with the superintendent of public instruction during the procurement process to ensure the master contract will meet the needs of local school districts, parents, and student in both the quality of service and the ease of access to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$3,978,000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(5)(a) The department shall facilitate enrollment under the medicaid expansion for clients applying for or receiving state-funded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to enroll eligible persons into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$322,102,000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$325,477,000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$517,076,000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$1,414,000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$4,958,000</w:t>
      </w:r>
    </w:p>
    <w:p>
      <w:pPr>
        <w:tabs>
          <w:tab w:val="right" w:leader="dot" w:pos="9936"/>
        </w:tabs>
        <w:ind w:left="0" w:right="0" w:firstLine="1440"/>
      </w:pPr>
      <w:r>
        <w:rPr/>
        <w:t xml:space="preserve">TOTAL APPROPRIATION</w:t>
      </w:r>
      <w:r>
        <w:tab/>
      </w:r>
      <w:r>
        <w:rPr/>
        <w:t xml:space="preserve">$1,172,381,000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$522,500 of the general fund</w:t>
      </w:r>
      <w:r>
        <w:rPr>
          <w:rFonts w:ascii="Times New Roman" w:hAnsi="Times New Roman"/>
        </w:rPr>
        <w:t xml:space="preserve">—</w:t>
      </w:r>
      <w:r>
        <w:rPr/>
        <w:t xml:space="preserve">state appropriation for fiscal year 2016, $522,500 of the general fund</w:t>
      </w:r>
      <w:r>
        <w:rPr>
          <w:rFonts w:ascii="Times New Roman" w:hAnsi="Times New Roman"/>
        </w:rPr>
        <w:t xml:space="preserve">—</w:t>
      </w:r>
      <w:r>
        <w:rPr/>
        <w:t xml:space="preserve">state appropriation for fiscal year 2017, $529,000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(5)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(6)(a)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(7) $960,000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$1,249,000 of the general fund</w:t>
      </w:r>
      <w:r>
        <w:rPr>
          <w:rFonts w:ascii="Times New Roman" w:hAnsi="Times New Roman"/>
        </w:rPr>
        <w:t xml:space="preserve">—</w:t>
      </w:r>
      <w:r>
        <w:rPr/>
        <w:t xml:space="preserve">federal appropriation are provided solely for extended foster care services to minor dependents who are engaged in employment for eighty hours or more per month.</w:t>
      </w:r>
    </w:p>
    <w:p>
      <w:pPr>
        <w:spacing w:before="0" w:after="0" w:line="408" w:lineRule="exact"/>
        <w:ind w:left="0" w:right="0" w:firstLine="576"/>
        <w:jc w:val="left"/>
      </w:pPr>
      <w:r>
        <w:rPr/>
        <w:t xml:space="preserve">(8)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(9)(a) $22,695,000 of the general fund</w:t>
      </w:r>
      <w:r>
        <w:rPr>
          <w:rFonts w:ascii="Times New Roman" w:hAnsi="Times New Roman"/>
        </w:rPr>
        <w:t xml:space="preserve">—</w:t>
      </w:r>
      <w:r>
        <w:rPr/>
        <w:t xml:space="preserve">state appropriation for fiscal year 2016, $22,695,000 of the general fund</w:t>
      </w:r>
      <w:r>
        <w:rPr>
          <w:rFonts w:ascii="Times New Roman" w:hAnsi="Times New Roman"/>
        </w:rPr>
        <w:t xml:space="preserve">—</w:t>
      </w:r>
      <w:r>
        <w:rPr/>
        <w:t xml:space="preserve">state appropriation for fiscal year 2017,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(10)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$1,584,000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(11) $174,000 of the domestic violence prevention account</w:t>
      </w:r>
      <w:r>
        <w:rPr>
          <w:rFonts w:ascii="Times New Roman" w:hAnsi="Times New Roman"/>
        </w:rPr>
        <w:t xml:space="preserve">—</w:t>
      </w:r>
      <w:r>
        <w:rPr/>
        <w:t xml:space="preserve">state appropriation for fiscal year 2017 is provided solely for implementation of Substitute Senate Bill No. 5631 (domestic violence victim services). If the bill is not enacted by June 30, 2015, the amount provided in this subsection shall lapse.</w:t>
      </w:r>
    </w:p>
    <w:p>
      <w:pPr>
        <w:spacing w:before="0" w:after="0" w:line="408" w:lineRule="exact"/>
        <w:ind w:left="0" w:right="0" w:firstLine="576"/>
        <w:jc w:val="left"/>
      </w:pPr>
      <w:r>
        <w:rPr/>
        <w:t xml:space="preserve">(12) $646,000 of the general fund</w:t>
      </w:r>
      <w:r>
        <w:rPr>
          <w:rFonts w:ascii="Times New Roman" w:hAnsi="Times New Roman"/>
        </w:rPr>
        <w:t xml:space="preserve">—</w:t>
      </w:r>
      <w:r>
        <w:rPr/>
        <w:t xml:space="preserve">state appropriation for fiscal year 2016, $1,446,000 of the general fund</w:t>
      </w:r>
      <w:r>
        <w:rPr>
          <w:rFonts w:ascii="Times New Roman" w:hAnsi="Times New Roman"/>
        </w:rPr>
        <w:t xml:space="preserve">—</w:t>
      </w:r>
      <w:r>
        <w:rPr/>
        <w:t xml:space="preserve">state appropriation for fiscal year 2017, and $1,028,000 of the general fund</w:t>
      </w:r>
      <w:r>
        <w:rPr>
          <w:rFonts w:ascii="Times New Roman" w:hAnsi="Times New Roman"/>
        </w:rPr>
        <w:t xml:space="preserve">—</w:t>
      </w:r>
      <w:r>
        <w:rPr/>
        <w:t xml:space="preserve">federal appropriation are provided solely for implementation of Substitute Senate Bill No. 5740 (extended foster care). If the bill is not enacted by June 30, 2015, the amounts provided in this subsection shall lapse.</w:t>
      </w:r>
    </w:p>
    <w:p>
      <w:pPr>
        <w:spacing w:before="0" w:after="0" w:line="408" w:lineRule="exact"/>
        <w:ind w:left="0" w:right="0" w:firstLine="576"/>
        <w:jc w:val="left"/>
      </w:pPr>
      <w:r>
        <w:rPr/>
        <w:t xml:space="preserve">(13) $904,000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Senate Bill No. 5452 (early care and education system). If the bill is not enacted by June 30, 2015, the amount provided in this subsection shall lapse.</w:t>
      </w:r>
    </w:p>
    <w:p>
      <w:pPr>
        <w:spacing w:before="0" w:after="0" w:line="408" w:lineRule="exact"/>
        <w:ind w:left="0" w:right="0" w:firstLine="576"/>
        <w:jc w:val="left"/>
      </w:pPr>
      <w:r>
        <w:rPr/>
        <w:t xml:space="preserve">(14)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$190,439,000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and $1,130,000 of the general fund</w:t>
      </w:r>
      <w:r>
        <w:rPr>
          <w:rFonts w:ascii="Times New Roman" w:hAnsi="Times New Roman"/>
        </w:rPr>
        <w:t xml:space="preserve">—</w:t>
      </w:r>
      <w:r>
        <w:rPr/>
        <w:t xml:space="preserve">state appropriation for fiscal year 2017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$3,123,000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(11) The department shall review its current food services at its institutions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$332,826,000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$343,182,000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$959,417,000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t xml:space="preserve">$1,653,289,000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$20,300,000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spacing w:before="0" w:after="0" w:line="408" w:lineRule="exact"/>
        <w:ind w:left="0" w:right="0" w:firstLine="576"/>
        <w:jc w:val="left"/>
      </w:pPr>
      <w:r>
        <w:rPr/>
        <w:t xml:space="preserve">(c) $69,653,000 of the general fund</w:t>
      </w:r>
      <w:r>
        <w:rPr>
          <w:rFonts w:ascii="Times New Roman" w:hAnsi="Times New Roman"/>
        </w:rPr>
        <w:t xml:space="preserve">—</w:t>
      </w:r>
      <w:r>
        <w:rPr/>
        <w:t xml:space="preserve">state appropriation for fiscal year 2016 and $69,518,000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$16,242,000 for fiscal year 2016 and $16,377,000 for fiscal year 2017. This reduction reflects a reduction of $6,879,000 for fiscal year 2016 and $6,880,000 for fiscal year 2017 and equals the regional support network's operating reserve balance as of December 31, 2014. An additional reduction of $9,363,000 for fiscal year 2016 and $9,497,000 for fiscal year 2017 reflects a funding shift from general fund</w:t>
      </w:r>
      <w:r>
        <w:rPr>
          <w:rFonts w:ascii="Times New Roman" w:hAnsi="Times New Roman"/>
        </w:rPr>
        <w:t xml:space="preserve">—</w:t>
      </w:r>
      <w:r>
        <w:rPr/>
        <w:t xml:space="preserve">state appropriation to general fund</w:t>
      </w:r>
      <w:r>
        <w:rPr>
          <w:rFonts w:ascii="Times New Roman" w:hAnsi="Times New Roman"/>
        </w:rPr>
        <w:t xml:space="preserve">—</w:t>
      </w:r>
      <w:r>
        <w:rPr/>
        <w:t xml:space="preserve">federal appropriation based on a waiver received from the centers for medicare and medicaid services allowing for federal funds to be used for community inpatient stays that were previously ineligible for federal matching funds. These amounts must be distributed to regional support networks based on the proportion of funds distributed in fiscal year 2015 under section 204(1)(a), chapter 221, Laws of 2014 (ESSB 6002).</w:t>
      </w:r>
    </w:p>
    <w:p>
      <w:pPr>
        <w:spacing w:before="0" w:after="0" w:line="408" w:lineRule="exact"/>
        <w:ind w:left="0" w:right="0" w:firstLine="576"/>
        <w:jc w:val="left"/>
      </w:pPr>
      <w:r>
        <w:rPr/>
        <w:t xml:space="preserve">(d)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204(1)(c)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(e)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(f)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(g)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(h)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(i)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(j)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(k)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(l)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(m)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(n)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(o) Beginning July 1, 2015, the department is directed to reduce capitation rates within its medicaid managed-care delivery system to the actuarially sound lower bound rate for all regional support networks.</w:t>
      </w:r>
    </w:p>
    <w:p>
      <w:pPr>
        <w:spacing w:before="0" w:after="0" w:line="408" w:lineRule="exact"/>
        <w:ind w:left="0" w:right="0" w:firstLine="576"/>
        <w:jc w:val="left"/>
      </w:pPr>
      <w:r>
        <w:rPr/>
        <w:t xml:space="preserve">(p)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(q) $1,394,000 of the general fund</w:t>
      </w:r>
      <w:r>
        <w:rPr>
          <w:rFonts w:ascii="Times New Roman" w:hAnsi="Times New Roman"/>
        </w:rPr>
        <w:t xml:space="preserve">—</w:t>
      </w:r>
      <w:r>
        <w:rPr/>
        <w:t xml:space="preserve">state appropriation for fiscal year 2016 and $1,394,000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 nonfelony diversion). Regional support networks must use the amounts for outpatient mental health treatment costs associated with implementation of the bill. If the bill is not enacted by June 30, 2015, the amounts provided in this subsection shall lapse.</w:t>
      </w:r>
    </w:p>
    <w:p>
      <w:pPr>
        <w:spacing w:before="0" w:after="0" w:line="408" w:lineRule="exact"/>
        <w:ind w:left="0" w:right="0" w:firstLine="576"/>
        <w:jc w:val="left"/>
      </w:pPr>
      <w:r>
        <w:rPr/>
        <w:t xml:space="preserve">(r) $2,877,000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Senate Bill No. 5269 (court review of detention decisions). Regional support networks must use the amounts for involuntary treatment costs associated with implementation of the bill. If the bill is not enacted by June 30, 2015, the amounts provided in this subsection shall lapse.</w:t>
      </w:r>
    </w:p>
    <w:p>
      <w:pPr>
        <w:spacing w:before="0" w:after="0" w:line="408" w:lineRule="exact"/>
        <w:ind w:left="0" w:right="0" w:firstLine="576"/>
        <w:jc w:val="left"/>
      </w:pPr>
      <w:r>
        <w:rPr/>
        <w:t xml:space="preserve">(s) $1,913,000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$3,308,000 of the general fund</w:t>
      </w:r>
      <w:r>
        <w:rPr>
          <w:rFonts w:ascii="Times New Roman" w:hAnsi="Times New Roman"/>
        </w:rPr>
        <w:t xml:space="preserve">—</w:t>
      </w:r>
      <w:r>
        <w:rPr/>
        <w:t xml:space="preserve">federal appropriation are provided solely for implementation of Engrossed Second Substitute Senate Bill No. 5649 (involuntary outpatient mental health treatment). Regional support networks must use the amounts for increases in community mental health treatment costs associated with implementation of the bill. If the bill is not enacted by June 30, 2015,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$160,880,000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$541,676,000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$10,521,000 of the general fund</w:t>
      </w:r>
      <w:r>
        <w:rPr>
          <w:rFonts w:ascii="Times New Roman" w:hAnsi="Times New Roman"/>
        </w:rPr>
        <w:t xml:space="preserve">—</w:t>
      </w:r>
      <w:r>
        <w:rPr/>
        <w:t xml:space="preserve">state appropriation for fiscal year 2016 and $12,549,000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fifteen and the number of forensic beds at eastern state hospital to one hundred ten. Within these amounts, funding is also provided for staff to provide workforce development, monitoring of forensic evaluation and treatment capacity and demand, and planning related to a community based competency restoration program.</w:t>
      </w:r>
    </w:p>
    <w:p>
      <w:pPr>
        <w:spacing w:before="0" w:after="0" w:line="408" w:lineRule="exact"/>
        <w:ind w:left="0" w:right="0" w:firstLine="576"/>
        <w:jc w:val="left"/>
      </w:pPr>
      <w:r>
        <w:rPr/>
        <w:t xml:space="preserve">(e) $1,701,000 of the general fund</w:t>
      </w:r>
      <w:r>
        <w:rPr>
          <w:rFonts w:ascii="Times New Roman" w:hAnsi="Times New Roman"/>
        </w:rPr>
        <w:t xml:space="preserve">—</w:t>
      </w:r>
      <w:r>
        <w:rPr/>
        <w:t xml:space="preserve">state appropriation for fiscal year 2016 and $1,803,000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spacing w:before="0" w:after="0" w:line="408" w:lineRule="exact"/>
        <w:ind w:left="0" w:right="0" w:firstLine="576"/>
        <w:jc w:val="left"/>
      </w:pPr>
      <w:r>
        <w:rPr/>
        <w:t xml:space="preserve">(f) Within the amounts appropriated for institutional services within this subsection (2), funding is provided to implement recommendations of the state psychiatric hospital ad hoc safety committee regarding additional safety skills and related training for employees of the state psychiatric hospitals, including additional staffing necessary to provide patient care when staff are participating in training.</w:t>
      </w:r>
    </w:p>
    <w:p>
      <w:pPr>
        <w:spacing w:before="0" w:after="0" w:line="408" w:lineRule="exact"/>
        <w:ind w:left="0" w:right="0" w:firstLine="576"/>
        <w:jc w:val="left"/>
      </w:pPr>
      <w:r>
        <w:rPr/>
        <w:t xml:space="preserve">(g) $158,000 of the general fund</w:t>
      </w:r>
      <w:r>
        <w:rPr>
          <w:rFonts w:ascii="Times New Roman" w:hAnsi="Times New Roman"/>
        </w:rPr>
        <w:t xml:space="preserve">—</w:t>
      </w:r>
      <w:r>
        <w:rPr/>
        <w:t xml:space="preserve">state appropriation for fiscal year 2016 and $152,000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The department shall use this funding and the amounts appropriated for institutional services in this subsection (2) to create an office of forensic mental health. If the bill is not enacted by June 30, 2015, the amounts provided in this subsection shall lapse.</w:t>
      </w:r>
    </w:p>
    <w:p>
      <w:pPr>
        <w:spacing w:before="0" w:after="0" w:line="408" w:lineRule="exact"/>
        <w:ind w:left="0" w:right="0" w:firstLine="576"/>
        <w:jc w:val="left"/>
      </w:pPr>
      <w:r>
        <w:rPr/>
        <w:t xml:space="preserve">(h)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to western state hospital solely to initiate United States food and drug administration approved injectable, long-acting, antipsychotic therapy for the treatment of schizophrenia for patients nearing discharge. The drug must be on the health care authority's preferred drug list and must be medically necessary. It is intended that any such therapy be identified for individuals likely to be covered by medicaid or medicare upon release from the state hospital.</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$28,792,000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$161,000 of the general fund</w:t>
      </w:r>
      <w:r>
        <w:rPr>
          <w:rFonts w:ascii="Times New Roman" w:hAnsi="Times New Roman"/>
        </w:rPr>
        <w:t xml:space="preserve">—</w:t>
      </w:r>
      <w:r>
        <w:rPr/>
        <w:t xml:space="preserve">state appropriation for fiscal year 2016 and $241,000 of the general fund</w:t>
      </w:r>
      <w:r>
        <w:rPr>
          <w:rFonts w:ascii="Times New Roman" w:hAnsi="Times New Roman"/>
        </w:rPr>
        <w:t xml:space="preserve">—</w:t>
      </w:r>
      <w:r>
        <w:rPr/>
        <w:t xml:space="preserve">state appropriation for fiscal year 2017 are provided solely for implementation of Second Substitute Senate Bill No. 5403 (competency to stand trial evaluations).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$537,526,000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$1,044,333,000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$2,082,758,000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(d) $8,697,000 of the general fund</w:t>
      </w:r>
      <w:r>
        <w:rPr>
          <w:rFonts w:ascii="Times New Roman" w:hAnsi="Times New Roman"/>
        </w:rPr>
        <w:t xml:space="preserve">—</w:t>
      </w:r>
      <w:r>
        <w:rPr/>
        <w:t xml:space="preserve">state appropriation for fiscal year 2016, $17,933,000 of the general fund</w:t>
      </w:r>
      <w:r>
        <w:rPr>
          <w:rFonts w:ascii="Times New Roman" w:hAnsi="Times New Roman"/>
        </w:rPr>
        <w:t xml:space="preserve">—</w:t>
      </w:r>
      <w:r>
        <w:rPr/>
        <w:t xml:space="preserve">state appropriation for fiscal year 2017, and $33,491,000 of the general fund</w:t>
      </w:r>
      <w:r>
        <w:rPr>
          <w:rFonts w:ascii="Times New Roman" w:hAnsi="Times New Roman"/>
        </w:rPr>
        <w:t xml:space="preserve">—</w:t>
      </w:r>
      <w:r>
        <w:rPr/>
        <w:t xml:space="preserve">federal appropriation are provided solely to fund a collective bargaining agreement negotiated with the exclusive bargaining representative of individual providers established under RCW 74.39A.270 for the 2015-2017 fiscal biennium that: (i) Does not contain contributions for a retirement benefit; (ii) provides that any excise tax for high-cost employer-sponsored health care coverage under 26 U.S.C. Sec. 4980I is borne by the insurance plan, is funded within the amounts provided in the agreement for employer contributions for health care coverage, and does not impose any expense or obligation on the state; (iii) does not exceed the funding provided in this section and section 206 of this act for individual providers of home care services; and (iv) does not create any future fiscal liability on the part of the state in excess of the future fiscal liability created by this section and section 206 of this act. If an agreement is not reached by June 30, 2015, the amounts provided in this subsection shall lapse.</w:t>
      </w:r>
    </w:p>
    <w:p>
      <w:pPr>
        <w:spacing w:before="0" w:after="0" w:line="408" w:lineRule="exact"/>
        <w:ind w:left="0" w:right="0" w:firstLine="576"/>
        <w:jc w:val="left"/>
      </w:pPr>
      <w:r>
        <w:rPr/>
        <w:t xml:space="preserve">(e)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purposes of RCW 74.39A.310 to increase wages and benefits of home care agency workers if an agreement between the governor and the service employees international union healthcare 775nw for the 2015-2017 fiscal biennium is reached subject to the provisions of sections 205, 206, and 919 of this act. If an agreement is not reached by June 30, 2015, the amounts provided in this subsection shall lapse.</w:t>
      </w:r>
    </w:p>
    <w:p>
      <w:pPr>
        <w:spacing w:before="0" w:after="0" w:line="408" w:lineRule="exact"/>
        <w:ind w:left="0" w:right="0" w:firstLine="576"/>
        <w:jc w:val="left"/>
      </w:pPr>
      <w:r>
        <w:rPr/>
        <w:t xml:space="preserve">(f) $4,399,000 of the general fund</w:t>
      </w:r>
      <w:r>
        <w:rPr>
          <w:rFonts w:ascii="Times New Roman" w:hAnsi="Times New Roman"/>
        </w:rPr>
        <w:t xml:space="preserve">—</w:t>
      </w:r>
      <w:r>
        <w:rPr/>
        <w:t xml:space="preserve">state appropriation for fiscal year 2016, $8,310,000 of the general fund</w:t>
      </w:r>
      <w:r>
        <w:rPr>
          <w:rFonts w:ascii="Times New Roman" w:hAnsi="Times New Roman"/>
        </w:rPr>
        <w:t xml:space="preserve">—</w:t>
      </w:r>
      <w:r>
        <w:rPr/>
        <w:t xml:space="preserve">state appropriation for fiscal year 2017, and $10,550,000 of the general fund</w:t>
      </w:r>
      <w:r>
        <w:rPr>
          <w:rFonts w:ascii="Times New Roman" w:hAnsi="Times New Roman"/>
        </w:rPr>
        <w:t xml:space="preserve">—</w:t>
      </w:r>
      <w:r>
        <w:rPr/>
        <w:t xml:space="preserve">federal appropriation are appropriated solely for the individual and family support waiver program. Within these amounts, the department shall expand the current number of clients receiving services by 4,000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(g) $3,834,000 of the general fund</w:t>
      </w:r>
      <w:r>
        <w:rPr>
          <w:rFonts w:ascii="Times New Roman" w:hAnsi="Times New Roman"/>
        </w:rPr>
        <w:t xml:space="preserve">—</w:t>
      </w:r>
      <w:r>
        <w:rPr/>
        <w:t xml:space="preserve">state appropriation for fiscal year 2016, $10,105,000 of the general fund</w:t>
      </w:r>
      <w:r>
        <w:rPr>
          <w:rFonts w:ascii="Times New Roman" w:hAnsi="Times New Roman"/>
        </w:rPr>
        <w:t xml:space="preserve">—</w:t>
      </w:r>
      <w:r>
        <w:rPr/>
        <w:t xml:space="preserve">state appropriation for fiscal year 2017, and $13,213,000 of the general fund</w:t>
      </w:r>
      <w:r>
        <w:rPr>
          <w:rFonts w:ascii="Times New Roman" w:hAnsi="Times New Roman"/>
        </w:rPr>
        <w:t xml:space="preserve">—</w:t>
      </w:r>
      <w:r>
        <w:rPr/>
        <w:t xml:space="preserve">federal appropriation are appropriated solely for the basic plus waiver program. Within these amounts, the department shall expand the current number of clients receiving services by 1,000 and focus on extending services to individuals who are:</w:t>
      </w:r>
    </w:p>
    <w:p>
      <w:pPr>
        <w:spacing w:before="0" w:after="0" w:line="408" w:lineRule="exact"/>
        <w:ind w:left="0" w:right="0" w:firstLine="576"/>
        <w:jc w:val="left"/>
      </w:pPr>
      <w:r>
        <w:rPr/>
        <w:t xml:space="preserve">(i) Currently receiving state-only funded employment; or</w:t>
      </w:r>
    </w:p>
    <w:p>
      <w:pPr>
        <w:spacing w:before="0" w:after="0" w:line="408" w:lineRule="exact"/>
        <w:ind w:left="0" w:right="0" w:firstLine="576"/>
        <w:jc w:val="left"/>
      </w:pPr>
      <w:r>
        <w:rPr/>
        <w:t xml:space="preserve">(ii) Graduating high school students who are not already on a medicaid waiver but are currently eligible for medicaid personal care services and interested in pursuing supported employment services.</w:t>
      </w:r>
    </w:p>
    <w:p>
      <w:pPr>
        <w:spacing w:before="0" w:after="0" w:line="408" w:lineRule="exact"/>
        <w:ind w:left="0" w:right="0" w:firstLine="576"/>
        <w:jc w:val="left"/>
      </w:pPr>
      <w:r>
        <w:rPr/>
        <w:t xml:space="preserve">(h) $404,800 of the general fund—state appropriation for fiscal year 2016, $404,800 of the general fund—state appropriation for fiscal year 2017, and $507,000 of the general fund—federal appropriation are provided solely for the development and implementation of six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w:t>
      </w:r>
    </w:p>
    <w:p>
      <w:pPr>
        <w:spacing w:before="0" w:after="0" w:line="408" w:lineRule="exact"/>
        <w:ind w:left="0" w:right="0" w:firstLine="576"/>
        <w:jc w:val="left"/>
      </w:pPr>
      <w:r>
        <w:rPr/>
        <w:t xml:space="preserve">(i) $404,800 of the general fund</w:t>
      </w:r>
      <w:r>
        <w:rPr>
          <w:rFonts w:ascii="Times New Roman" w:hAnsi="Times New Roman"/>
        </w:rPr>
        <w:t xml:space="preserve">—</w:t>
      </w:r>
      <w:r>
        <w:rPr/>
        <w:t xml:space="preserve">state appropriation for fiscal year 2016, $404,800 of the general fund</w:t>
      </w:r>
      <w:r>
        <w:rPr>
          <w:rFonts w:ascii="Times New Roman" w:hAnsi="Times New Roman"/>
        </w:rPr>
        <w:t xml:space="preserve">—</w:t>
      </w:r>
      <w:r>
        <w:rPr/>
        <w:t xml:space="preserve">state appropriation for fiscal year 2017, and $507,000 of the general fund</w:t>
      </w:r>
      <w:r>
        <w:rPr>
          <w:rFonts w:ascii="Times New Roman" w:hAnsi="Times New Roman"/>
        </w:rPr>
        <w:t xml:space="preserve">—</w:t>
      </w:r>
      <w:r>
        <w:rPr/>
        <w:t xml:space="preserve">federal appropriation are provided solely for the development and implementation of six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w:t>
      </w:r>
    </w:p>
    <w:p>
      <w:pPr>
        <w:spacing w:before="0" w:after="0" w:line="408" w:lineRule="exact"/>
        <w:ind w:left="0" w:right="0" w:firstLine="576"/>
        <w:jc w:val="left"/>
      </w:pPr>
      <w:r>
        <w:rPr/>
        <w:t xml:space="preserve">(j) The department is authorized to establish limited exemption criteria in rule to address RCW 74.39A.325 when a landline is not available to the employee.</w:t>
      </w:r>
    </w:p>
    <w:p>
      <w:pPr>
        <w:spacing w:before="0" w:after="0" w:line="408" w:lineRule="exact"/>
        <w:ind w:left="0" w:right="0" w:firstLine="576"/>
        <w:jc w:val="left"/>
      </w:pPr>
      <w:r>
        <w:rPr/>
        <w:t xml:space="preserve">(k) Community residential cost reports that are administered by or on behalf of contracted agency providers are required to include information about agency staffing, including health insurance, wages, number of positions, and turnover.</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$91,101,000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$172,235,000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$376,886,000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$824,000 of the general fund</w:t>
      </w:r>
      <w:r>
        <w:rPr>
          <w:rFonts w:ascii="Times New Roman" w:hAnsi="Times New Roman"/>
        </w:rPr>
        <w:t xml:space="preserve">—</w:t>
      </w:r>
      <w:r>
        <w:rPr/>
        <w:t xml:space="preserve">state appropriation for fiscal year 2016, $1,176,000 of the general fund</w:t>
      </w:r>
      <w:r>
        <w:rPr>
          <w:rFonts w:ascii="Times New Roman" w:hAnsi="Times New Roman"/>
        </w:rPr>
        <w:t xml:space="preserve">—</w:t>
      </w:r>
      <w:r>
        <w:rPr/>
        <w:t xml:space="preserve">state appropriation for fiscal year 2017, and $2,000,000 of the general fund</w:t>
      </w:r>
      <w:r>
        <w:rPr>
          <w:rFonts w:ascii="Times New Roman" w:hAnsi="Times New Roman"/>
        </w:rPr>
        <w:t xml:space="preserve">—</w:t>
      </w:r>
      <w:r>
        <w:rPr/>
        <w:t xml:space="preserve">federal appropriation are provided solely for the purpose of opening an eight-bed cottage at Yakima valley school to support individuals who are developmentally disabled and in need of either crisis or respite services, or both.</w:t>
      </w:r>
    </w:p>
    <w:p>
      <w:pPr>
        <w:spacing w:before="0" w:after="0" w:line="408" w:lineRule="exact"/>
        <w:ind w:left="0" w:right="0" w:firstLine="576"/>
        <w:jc w:val="left"/>
      </w:pPr>
      <w:r>
        <w:rPr/>
        <w:t xml:space="preserve">(d) The residential habilitation centers may use funds appropriated in this subsection to purchase goods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$3,396,000</w:t>
      </w:r>
    </w:p>
    <w:p>
      <w:pPr>
        <w:tabs>
          <w:tab w:val="right" w:leader="dot" w:pos="9936"/>
        </w:tabs>
        <w:ind w:left="0" w:right="0" w:firstLine="1440"/>
      </w:pPr>
      <w:r>
        <w:rPr/>
        <w:t xml:space="preserve">TOTAL APPROPRIATION</w:t>
      </w:r>
      <w:r>
        <w:tab/>
      </w:r>
      <w:r>
        <w:rPr/>
        <w:t xml:space="preserve">$9,151,000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$1,001,270,000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$2,365,379,000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$4,458,542,000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(d)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one hundred twenty days if necessary to ensure continuity of care during the relicensing process.</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$20,241,000 of the general fund</w:t>
      </w:r>
      <w:r>
        <w:rPr>
          <w:rFonts w:ascii="Times New Roman" w:hAnsi="Times New Roman"/>
        </w:rPr>
        <w:t xml:space="preserve">—</w:t>
      </w:r>
      <w:r>
        <w:rPr/>
        <w:t xml:space="preserve">state appropriation for fiscal year 2016, $40,988,000 of the general fund</w:t>
      </w:r>
      <w:r>
        <w:rPr>
          <w:rFonts w:ascii="Times New Roman" w:hAnsi="Times New Roman"/>
        </w:rPr>
        <w:t xml:space="preserve">—</w:t>
      </w:r>
      <w:r>
        <w:rPr/>
        <w:t xml:space="preserve">state appropriation for fiscal year 2017, and $76,956,000 of the general fund</w:t>
      </w:r>
      <w:r>
        <w:rPr>
          <w:rFonts w:ascii="Times New Roman" w:hAnsi="Times New Roman"/>
        </w:rPr>
        <w:t xml:space="preserve">—</w:t>
      </w:r>
      <w:r>
        <w:rPr/>
        <w:t xml:space="preserve">federal appropriation are provided solely to fund a collective bargaining agreement negotiated with the exclusive bargaining representative of individual providers established under RCW 74.39A.270 for the 2015-2017 fiscal biennium that: (a) Does not contain contributions for a retirement benefit; (b) provides that any excise tax for high-cost employer-sponsored health care coverage under 26 U.S.C. Sec. 4980I is borne by the insurance plan, is funded within the amounts provided in the agreement for employer contributions for health care coverage, and does not impose any expense or obligation on the state; (c) does not exceed the funding provided in this section and section 205 of this act for individual providers of home care services; and (d) does not create any future fiscal liability on the part of the state in excess of the future fiscal liability created by this section and section 205 of this act. If an agreement is not reached by June 30, 2015, the amounts provided in this subsection shall lapse.</w:t>
      </w:r>
    </w:p>
    <w:p>
      <w:pPr>
        <w:spacing w:before="0" w:after="0" w:line="408" w:lineRule="exact"/>
        <w:ind w:left="0" w:right="0" w:firstLine="576"/>
        <w:jc w:val="left"/>
      </w:pPr>
      <w:r>
        <w:rPr/>
        <w:t xml:space="preserve">(6)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to increase wages and benefits of home care agency workers if an agreement between the governor and the service employees international union healthcare 775nw for the 2015-2017 fiscal biennia is reached subject to the provisions of sections 205, 206, and 919 of this act. If an agreement is not reached by June 30, 2015, the amounts provided in this subsection shall lapse.</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2016, $200,000 of the general fund</w:t>
      </w:r>
      <w:r>
        <w:rPr>
          <w:rFonts w:ascii="Times New Roman" w:hAnsi="Times New Roman"/>
        </w:rPr>
        <w:t xml:space="preserve">—</w:t>
      </w:r>
      <w:r>
        <w:rPr/>
        <w:t xml:space="preserve">private/local appropriation, and $100,000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(a) A long-term care benefit paid for and open to workers and funded through a payroll deduction that would provide a one-to-three year long-term care insurance benefit; and (b) a public-private reinsurance or risk-sharing model to provide a stable and ongoing source of reimbursement to insurers for a portion of their catastrophic long-term services and supports losses in order to provide additional insurance capacity in the state. The two options must be evaluated based on expected costs and benefits to participants, anticipated number of participants, savings to the medicaid program, and legal and financial risks to the state. The department must provide oversight and direction for this evaluation and must convene interested stakeholders to provide input on study design. The study must be submitted to the department by March 31, 2016. The department must then submit an interim report to include the director's findings and recommendations based on the study to the appropriate committees of the legislature by July 1, 2016, and a final report by January 15, 2017.</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(10)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$391,459,000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$1,217,838,000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$1,882,000</w:t>
      </w:r>
    </w:p>
    <w:p>
      <w:pPr>
        <w:tabs>
          <w:tab w:val="right" w:leader="dot" w:pos="9936"/>
        </w:tabs>
        <w:ind w:left="0" w:right="0" w:firstLine="1440"/>
      </w:pPr>
      <w:r>
        <w:rPr/>
        <w:t xml:space="preserve">TOTAL APPROPRIATION</w:t>
      </w:r>
      <w:r>
        <w:tab/>
      </w:r>
      <w:r>
        <w:rPr/>
        <w:t xml:space="preserve">$1,997,867,000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$155,293,000 of the general fund</w:t>
      </w:r>
      <w:r>
        <w:rPr>
          <w:rFonts w:ascii="Times New Roman" w:hAnsi="Times New Roman"/>
        </w:rPr>
        <w:t xml:space="preserve">—</w:t>
      </w:r>
      <w:r>
        <w:rPr/>
        <w:t xml:space="preserve">state appropriation for fiscal year 2016, $157,748,000 of the general fund</w:t>
      </w:r>
      <w:r>
        <w:rPr>
          <w:rFonts w:ascii="Times New Roman" w:hAnsi="Times New Roman"/>
        </w:rPr>
        <w:t xml:space="preserve">—</w:t>
      </w:r>
      <w:r>
        <w:rPr/>
        <w:t xml:space="preserve">state appropriation for fiscal year 2017, and $728,786,000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$281,135,000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$422,373,000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amounts in this subsection (1)(d) assume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spacing w:before="0" w:after="0" w:line="408" w:lineRule="exact"/>
        <w:ind w:left="0" w:right="0" w:firstLine="576"/>
        <w:jc w:val="left"/>
      </w:pPr>
      <w:r>
        <w:rPr/>
        <w:t xml:space="preserve">(e) $162,447,000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Pursuant to RCW 41.06.142(3), the department shall implement a pilot program within existing resources to understand the nature and depth of potential fraud, waste, and abuse within the basic food, state food assistance, temporary assistance to needy families, state family assistance, and working connections child care programs. The pilot program shall review the basic food, state food assistance, temporary assistance to needy families, state family assistance, and working connections child care programs enrollment and determine any changes in demographics, including but not limited to becoming deceased, incarcerated, or residing out of state. The pilot program shall be conducted by the department of social and health services in partnership with a third-party vendor that uses national public records data and a national contributory database such as the national accuracy clearinghouse. The department shall prepare a report and submit it to the legislative fiscal committees by December 15, 2015.</w:t>
      </w:r>
    </w:p>
    <w:p>
      <w:pPr>
        <w:spacing w:before="0" w:after="0" w:line="408" w:lineRule="exact"/>
        <w:ind w:left="0" w:right="0" w:firstLine="576"/>
        <w:jc w:val="left"/>
      </w:pPr>
      <w:r>
        <w:rPr/>
        <w:t xml:space="preserve">(7) $1,758,000 of the general fund</w:t>
      </w:r>
      <w:r>
        <w:rPr>
          <w:rFonts w:ascii="Times New Roman" w:hAnsi="Times New Roman"/>
        </w:rPr>
        <w:t xml:space="preserve">—</w:t>
      </w:r>
      <w:r>
        <w:rPr/>
        <w:t xml:space="preserve">state appropriation for fiscal year 2016 and $1,604,000 of the general fund</w:t>
      </w:r>
      <w:r>
        <w:rPr>
          <w:rFonts w:ascii="Times New Roman" w:hAnsi="Times New Roman"/>
        </w:rPr>
        <w:t xml:space="preserve">—</w:t>
      </w:r>
      <w:r>
        <w:rPr/>
        <w:t xml:space="preserve">state appropriation for fiscal year 2017 are provided solely for implementation of Engrossed Second Substitute Senate Bill No. 5452 (early care and education system). If the bill is not enacted by June 30, 2015, the amounts provided in this subsection shall lapse.</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$76,978,000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$421,619,000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$601,130,000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Within the amounts appropriated in this section, the department shall implement increased rates for chemical dependency treatment services provided to medicaid enrollees, commensurate with current nonmedicaid rates for same or similar services. Any rate changes must be approved by the centers for medicare and medicaid services.</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implementation of programs through the department's community prevention and wellness initiative in order to have the prevention programs evaluated and reported on by the Washington state institute for public policy by December 1, 2016.</w:t>
      </w:r>
    </w:p>
    <w:p>
      <w:pPr>
        <w:spacing w:before="0" w:after="0" w:line="408" w:lineRule="exact"/>
        <w:ind w:left="0" w:right="0" w:firstLine="576"/>
        <w:jc w:val="left"/>
      </w:pPr>
      <w:r>
        <w:rPr/>
        <w:t xml:space="preserve">(6) $442,500 of the general fund</w:t>
      </w:r>
      <w:r>
        <w:rPr>
          <w:rFonts w:ascii="Times New Roman" w:hAnsi="Times New Roman"/>
        </w:rPr>
        <w:t xml:space="preserve">—</w:t>
      </w:r>
      <w:r>
        <w:rPr/>
        <w:t xml:space="preserve">state appropriation for fiscal year 2016 and $442,500 of the general fund</w:t>
      </w:r>
      <w:r>
        <w:rPr>
          <w:rFonts w:ascii="Times New Roman" w:hAnsi="Times New Roman"/>
        </w:rPr>
        <w:t xml:space="preserve">—</w:t>
      </w:r>
      <w:r>
        <w:rPr/>
        <w:t xml:space="preserve">state appropriation for fiscal year 2017 are provided solely for the development, implementation, and reporting of the Washington state healthy youth survey and the Washington state young adult behavioral health survey.</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parenting education services focused on pregnant and parenting women.</w:t>
      </w:r>
    </w:p>
    <w:p>
      <w:pPr>
        <w:spacing w:before="0" w:after="0" w:line="408" w:lineRule="exact"/>
        <w:ind w:left="0" w:right="0" w:firstLine="576"/>
        <w:jc w:val="left"/>
      </w:pPr>
      <w:r>
        <w:rPr/>
        <w:t xml:space="preserve">(8) Within existing appropriations, the department shall prioritize the prevention and treatment of intravenous, opiate-based drug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$36,037,000</w:t>
      </w:r>
    </w:p>
    <w:p>
      <w:pPr>
        <w:tabs>
          <w:tab w:val="right" w:leader="dot" w:pos="9936"/>
        </w:tabs>
        <w:ind w:left="0" w:right="0" w:firstLine="1440"/>
      </w:pPr>
      <w:r>
        <w:rPr/>
        <w:t xml:space="preserve">TOTAL APPROPRIATION</w:t>
      </w:r>
      <w:r>
        <w:tab/>
      </w:r>
      <w:r>
        <w:rPr/>
        <w:t xml:space="preserve">$72,486,000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(2) Within the amounts provided in this section, the special commitment center within the department of social and health services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is acting as the covered entity or safety-net provider beginning January 1, 2016.</w:t>
      </w:r>
    </w:p>
    <w:p>
      <w:pPr>
        <w:spacing w:before="0" w:after="0" w:line="408" w:lineRule="exact"/>
        <w:ind w:left="0" w:right="0" w:firstLine="576"/>
        <w:jc w:val="left"/>
      </w:pPr>
      <w:r>
        <w:rPr/>
        <w:t xml:space="preserve">(3)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for implementation of House Bill No. 1059 (enhanced sexual predator reviews).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$84,917,000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include a reduction of $15,980,000 in general fund</w:t>
      </w:r>
      <w:r>
        <w:rPr>
          <w:rFonts w:ascii="Times New Roman" w:hAnsi="Times New Roman"/>
        </w:rPr>
        <w:t xml:space="preserve">—</w:t>
      </w:r>
      <w:r>
        <w:rPr/>
        <w:t xml:space="preserve">state expenditures by the department of social and health services for the 2015-2017 fiscal biennium. This reduction in expenditure authority for the administration and supporting services program of the department shall be achieved through expenditure reductions in other programs and divisions of the department as a result of lean management strategies and other administrative efficiencies that do not result from caseload or service delivery reductions. The savings obtained in other programs and divisions of the department shall be transferred to the administration and supporting services program to achieve the expenditure reduction amount specified in this subsection.</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$177,859,000</w:t>
      </w:r>
    </w:p>
    <w:p>
      <w:pPr>
        <w:spacing w:before="120" w:after="0" w:line="408" w:lineRule="exact"/>
        <w:ind w:left="0" w:right="0" w:firstLine="576"/>
        <w:jc w:val="left"/>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social and health services shall suspend all payments to the department of enterprise services for real estate services. The department of social and health services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12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$2,032,505,000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$2,095,869,000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$77,795,000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$734,892,000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$474,000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$16,421,426,000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 If the bill is not enacted by June 30, 2015, the amounts provided in this subsection shall lapse.</w:t>
      </w:r>
    </w:p>
    <w:p>
      <w:pPr>
        <w:spacing w:before="0" w:after="0" w:line="408" w:lineRule="exact"/>
        <w:ind w:left="0" w:right="0" w:firstLine="576"/>
        <w:jc w:val="left"/>
      </w:pPr>
      <w:r>
        <w:rPr/>
        <w:t xml:space="preserve">(y) $4,278,000 of the general fund—private/local appropriation and $9,835,000 of the general fund—federal appropriation are provided solely to implement Senate Bill No. 5840 (emergency medical transportation). If the bill is not enacted by June 30, 2015, the amounts provided in this subsection shall lapse.</w:t>
      </w:r>
    </w:p>
    <w:p>
      <w:pPr>
        <w:spacing w:before="0" w:after="0" w:line="408" w:lineRule="exact"/>
        <w:ind w:left="0" w:right="0" w:firstLine="576"/>
        <w:jc w:val="left"/>
      </w:pPr>
      <w:r>
        <w:rPr/>
        <w:t xml:space="preserve">(z) Within amounts appropriated in this section, the health care authority shall conduct a review of its adult dental program in cooperation with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November 1, 2015.</w:t>
      </w:r>
    </w:p>
    <w:p>
      <w:pPr>
        <w:spacing w:before="0" w:after="0" w:line="408" w:lineRule="exact"/>
        <w:ind w:left="0" w:right="0" w:firstLine="576"/>
        <w:jc w:val="left"/>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2010-2013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(bb) $1,162,000 of the general fund</w:t>
      </w:r>
      <w:r>
        <w:rPr>
          <w:rFonts w:ascii="Times New Roman" w:hAnsi="Times New Roman"/>
        </w:rPr>
        <w:t xml:space="preserve">—</w:t>
      </w:r>
      <w:r>
        <w:rPr/>
        <w:t xml:space="preserve">state appropriation for fiscal year 2016 and $1,181,000 of the general fund</w:t>
      </w:r>
      <w:r>
        <w:rPr>
          <w:rFonts w:ascii="Times New Roman" w:hAnsi="Times New Roman"/>
        </w:rPr>
        <w:t xml:space="preserve">—</w:t>
      </w:r>
      <w:r>
        <w:rPr/>
        <w:t xml:space="preserve">state appropriation for fiscal year 2017 are provided solely for vaccines for children covered under the children's health insurance program.</w:t>
      </w:r>
    </w:p>
    <w:p>
      <w:pPr>
        <w:spacing w:before="0" w:after="0" w:line="408" w:lineRule="exact"/>
        <w:ind w:left="0" w:right="0" w:firstLine="576"/>
        <w:jc w:val="left"/>
      </w:pPr>
      <w:r>
        <w:rPr/>
        <w:t xml:space="preserve">(cc)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(dd)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(ee) Within amounts appropriated in this section, the health care authority shall conduct a review of its federally qualified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$38,419,000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$20,083,000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$53,967,000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$11,899,000</w:t>
      </w:r>
    </w:p>
    <w:p>
      <w:pPr>
        <w:tabs>
          <w:tab w:val="right" w:leader="dot" w:pos="9936"/>
        </w:tabs>
        <w:ind w:left="0" w:right="0" w:firstLine="1440"/>
      </w:pPr>
      <w:r>
        <w:rPr/>
        <w:t xml:space="preserve">TOTAL APPROPRIATION</w:t>
      </w:r>
      <w:r>
        <w:tab/>
      </w:r>
      <w:r>
        <w:rPr/>
        <w:t xml:space="preserve">$85,949,000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$23,338,000 of the health benefit exchange account</w:t>
      </w:r>
      <w:r>
        <w:rPr>
          <w:rFonts w:ascii="Times New Roman" w:hAnsi="Times New Roman"/>
        </w:rPr>
        <w:t xml:space="preserve">—</w:t>
      </w:r>
      <w:r>
        <w:rPr/>
        <w:t xml:space="preserve">state appropriation for fiscal year 2016, $30,629,000 of the health benefit exchange account</w:t>
      </w:r>
      <w:r>
        <w:rPr>
          <w:rFonts w:ascii="Times New Roman" w:hAnsi="Times New Roman"/>
        </w:rPr>
        <w:t xml:space="preserve">—</w:t>
      </w:r>
      <w:r>
        <w:rPr/>
        <w:t xml:space="preserve">state appropriation for fiscal year 2017, and $20,083,000 of the general fund</w:t>
      </w:r>
      <w:r>
        <w:rPr>
          <w:rFonts w:ascii="Times New Roman" w:hAnsi="Times New Roman"/>
        </w:rPr>
        <w:t xml:space="preserve">—</w:t>
      </w:r>
      <w:r>
        <w:rPr/>
        <w:t xml:space="preserve">federal appropriation are provided solely to support the exchange's operations, including staffing, in-person assisters, information technology, consulting, auditing, marketing, and printing.</w:t>
      </w:r>
    </w:p>
    <w:p>
      <w:pPr>
        <w:spacing w:before="0" w:after="0" w:line="408" w:lineRule="exact"/>
        <w:ind w:left="0" w:right="0" w:firstLine="576"/>
        <w:jc w:val="left"/>
      </w:pPr>
      <w:r>
        <w:rPr/>
        <w:t xml:space="preserve">(c) $11,899,000 of the health benefit exchange account</w:t>
      </w:r>
      <w:r>
        <w:rPr>
          <w:rFonts w:ascii="Times New Roman" w:hAnsi="Times New Roman"/>
        </w:rPr>
        <w:t xml:space="preserve">—</w:t>
      </w:r>
      <w:r>
        <w:rPr/>
        <w:t xml:space="preserve">federal appropriation is provided solely for the medicaid-related costs associated with the work supported by federal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$2,213,000</w:t>
      </w:r>
    </w:p>
    <w:p>
      <w:pPr>
        <w:tabs>
          <w:tab w:val="right" w:leader="dot" w:pos="9936"/>
        </w:tabs>
        <w:ind w:left="0" w:right="0" w:firstLine="1440"/>
      </w:pPr>
      <w:r>
        <w:rPr/>
        <w:t xml:space="preserve">TOTAL APPROPRIATION</w:t>
      </w:r>
      <w:r>
        <w:tab/>
      </w:r>
      <w:r>
        <w:rPr/>
        <w:t xml:space="preserve">$6,134,000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$20,248,000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$20,248,000</w:t>
      </w:r>
    </w:p>
    <w:p>
      <w:pPr>
        <w:tabs>
          <w:tab w:val="right" w:leader="dot" w:pos="9936"/>
        </w:tabs>
        <w:ind w:left="0" w:right="0" w:firstLine="1440"/>
      </w:pPr>
      <w:r>
        <w:rPr/>
        <w:t xml:space="preserve">TOTAL APPROPRIATION</w:t>
      </w:r>
      <w:r>
        <w:tab/>
      </w:r>
      <w:r>
        <w:rPr/>
        <w:t xml:space="preserve">$40,506,000</w:t>
      </w:r>
    </w:p>
    <w:p>
      <w:pPr>
        <w:spacing w:before="120" w:after="0" w:line="408" w:lineRule="exact"/>
        <w:ind w:left="0" w:right="0" w:firstLine="576"/>
        <w:jc w:val="left"/>
      </w:pPr>
      <w:r>
        <w:rPr/>
        <w:t xml:space="preserve">The appropriations in this section are subject to the following conditions and limitations: $50,000 of the accident fund</w:t>
      </w:r>
      <w:r>
        <w:rPr>
          <w:rFonts w:ascii="Times New Roman" w:hAnsi="Times New Roman"/>
        </w:rPr>
        <w:t xml:space="preserve">—</w:t>
      </w:r>
      <w:r>
        <w:rPr/>
        <w:t xml:space="preserve">state appropriation and $50,000 of the medical aid fund</w:t>
      </w:r>
      <w:r>
        <w:rPr>
          <w:rFonts w:ascii="Times New Roman" w:hAnsi="Times New Roman"/>
        </w:rPr>
        <w:t xml:space="preserve">—</w:t>
      </w:r>
      <w:r>
        <w:rPr/>
        <w:t xml:space="preserve">state appropriation are provided solely for the board, in consultation with the department of labor and industries and its workers compensation advisory committee created in RCW 51.04.110, to conduct a review of claims appealed to a superior court for fiscal years 2012 through 2015. The review must identify the number of appeals filed by month, the basis of the appeal, the prevailing party of the appeal, and the amount of any award made to the prevailing party, including the amount of any award of attorney fees and costs. The board, department, and committee shall use the review to make recommendations in law, policy, or practice to reduce the number of appeals to superior courts and to provide direct review to superior courts. Additionally, the board and department must use the review to report on the potential costs savings to employers or increased awards to injured workers if attorney fees under RCW 51.52.120 and 51.52.130 were limited to not more than twenty percent of the increase in the award secured by the attorneys'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$4,388,000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t xml:space="preserve">$49,025,000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$535,000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 If the bill is not enacted by June 30, 2015, the amounts provided in this subsection shall lapse.</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commission to develop and oversee a statewide cadre of trainers who can provide training to local jurisdictions on instilling the "guardian" culture into law enforcement agencies.</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$47,108,000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$915,000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$6,499,000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$270,118,000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$285,245,000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$4,143,000</w:t>
      </w:r>
    </w:p>
    <w:p>
      <w:pPr>
        <w:tabs>
          <w:tab w:val="right" w:leader="dot" w:pos="9936"/>
        </w:tabs>
        <w:ind w:left="0" w:right="0" w:firstLine="1440"/>
      </w:pPr>
      <w:r>
        <w:rPr/>
        <w:t xml:space="preserve">TOTAL APPROPRIATION</w:t>
      </w:r>
      <w:r>
        <w:tab/>
      </w:r>
      <w:r>
        <w:rPr/>
        <w:t xml:space="preserve">$679,315,000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Substitute Senate Bill No. 5897 (child abuse exams). If the bill is not enacted by June 30, 2015, the amounts provided in this subsection shall lapse.</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Senate Bill No. 5451 (enhancing return to work). If the bill is not enacted by June 30, 2015, the amount provided in this subsection shall lapse.</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$741,000 of the medical aid account</w:t>
      </w:r>
      <w:r>
        <w:rPr>
          <w:rFonts w:ascii="Times New Roman" w:hAnsi="Times New Roman"/>
        </w:rPr>
        <w:t xml:space="preserve">—</w:t>
      </w:r>
      <w:r>
        <w:rPr/>
        <w:t xml:space="preserve">state appropriation is provided solely for implementation of Senate Bill No. 5418 (catastrophic injured workers). If the bill is not enacted by June 30, 2015, the amount provided in this subsection shall lapse.</w:t>
      </w:r>
    </w:p>
    <w:p>
      <w:pPr>
        <w:spacing w:before="0" w:after="0" w:line="408" w:lineRule="exact"/>
        <w:ind w:left="0" w:right="0" w:firstLine="576"/>
        <w:jc w:val="left"/>
      </w:pPr>
      <w:r>
        <w:rPr/>
        <w:t xml:space="preserve">(5)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(4) through (6) of this act.</w:t>
      </w:r>
    </w:p>
    <w:p>
      <w:pPr>
        <w:spacing w:before="0" w:after="0" w:line="408" w:lineRule="exact"/>
        <w:ind w:left="0" w:right="0" w:firstLine="576"/>
        <w:jc w:val="left"/>
      </w:pPr>
      <w:r>
        <w:rPr/>
        <w:t xml:space="preserve">(6) $250,000 of the public works administration account</w:t>
      </w:r>
      <w:r>
        <w:rPr>
          <w:rFonts w:ascii="Times New Roman" w:hAnsi="Times New Roman"/>
        </w:rPr>
        <w:t xml:space="preserve">—</w:t>
      </w:r>
      <w:r>
        <w:rPr/>
        <w:t xml:space="preserve">state appropriation is provided solely for the department to collaborate with its prevailing wage advisory committee to contract for a review of options to replace Washington's current prevailing wage information technology system.</w:t>
      </w:r>
    </w:p>
    <w:p>
      <w:pPr>
        <w:spacing w:before="0" w:after="0" w:line="408" w:lineRule="exact"/>
        <w:ind w:left="0" w:right="0" w:firstLine="576"/>
        <w:jc w:val="left"/>
      </w:pPr>
      <w:r>
        <w:rPr/>
        <w:t xml:space="preserve">(a) The review must include:</w:t>
      </w:r>
    </w:p>
    <w:p>
      <w:pPr>
        <w:spacing w:before="0" w:after="0" w:line="408" w:lineRule="exact"/>
        <w:ind w:left="0" w:right="0" w:firstLine="576"/>
        <w:jc w:val="left"/>
      </w:pPr>
      <w:r>
        <w:rPr/>
        <w:t xml:space="preserve">(i) A survey of prevailing wage information technology systems used in other states;</w:t>
      </w:r>
    </w:p>
    <w:p>
      <w:pPr>
        <w:spacing w:before="0" w:after="0" w:line="408" w:lineRule="exact"/>
        <w:ind w:left="0" w:right="0" w:firstLine="576"/>
        <w:jc w:val="left"/>
      </w:pPr>
      <w:r>
        <w:rPr/>
        <w:t xml:space="preserve">(ii) The availability and use of commercial off-the-shelf or software as a service technology solutions for prevailing wage programs;</w:t>
      </w:r>
    </w:p>
    <w:p>
      <w:pPr>
        <w:spacing w:before="0" w:after="0" w:line="408" w:lineRule="exact"/>
        <w:ind w:left="0" w:right="0" w:firstLine="576"/>
        <w:jc w:val="left"/>
      </w:pPr>
      <w:r>
        <w:rPr/>
        <w:t xml:space="preserve">(iii) An assessment of the systems identified in (a) and (b) of this subsection that are most accessible and transparent for workers and employers to determine applicable classifications and wage rates; file intents and affidavits; to submit, review, verify, and dispute wage surveys; and to pay fines and fees. The assessment must also evaluate the ability of the system to increase the accuracy of prevailing wage rates, use a variety of statistical methodologies and processes to calculate rates; detect and investigate fraud, and improve the efficiency of the department's operations; and</w:t>
      </w:r>
    </w:p>
    <w:p>
      <w:pPr>
        <w:spacing w:before="0" w:after="0" w:line="408" w:lineRule="exact"/>
        <w:ind w:left="0" w:right="0" w:firstLine="576"/>
        <w:jc w:val="left"/>
      </w:pPr>
      <w:r>
        <w:rPr/>
        <w:t xml:space="preserve">(iv) The cost to implement up to six systems recommended by the department and prevailing wage advisory committee for further review. Recognizing that a simpler and more accurate system may require changes in state law, rule, or practice, a prevailing wage information technology system should not be rejected for further review solely on this basis, but those requirements must be noted in the review. </w:t>
      </w:r>
    </w:p>
    <w:p>
      <w:pPr>
        <w:spacing w:before="0" w:after="0" w:line="408" w:lineRule="exact"/>
        <w:ind w:left="0" w:right="0" w:firstLine="576"/>
        <w:jc w:val="left"/>
      </w:pPr>
      <w:r>
        <w:rPr/>
        <w:t xml:space="preserve">(b) The review is due to the appropriate committees of the legislature by September 1, 2016.</w:t>
      </w:r>
    </w:p>
    <w:p>
      <w:pPr>
        <w:spacing w:before="0" w:after="0" w:line="408" w:lineRule="exact"/>
        <w:ind w:left="0" w:right="0" w:firstLine="576"/>
        <w:jc w:val="left"/>
      </w:pPr>
      <w:r>
        <w:rPr/>
        <w:t xml:space="preserve">(7)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(4) through (6) of this act.</w:t>
      </w:r>
    </w:p>
    <w:p>
      <w:pPr>
        <w:spacing w:before="0" w:after="0" w:line="408" w:lineRule="exact"/>
        <w:ind w:left="0" w:right="0" w:firstLine="576"/>
        <w:jc w:val="left"/>
      </w:pPr>
      <w:r>
        <w:rPr/>
        <w:t xml:space="preserve">(8) $641,000 of the medical aid account</w:t>
      </w:r>
      <w:r>
        <w:rPr>
          <w:rFonts w:ascii="Times New Roman" w:hAnsi="Times New Roman"/>
        </w:rPr>
        <w:t xml:space="preserve">—</w:t>
      </w:r>
      <w:r>
        <w:rPr/>
        <w:t xml:space="preserve">state appropriation is provided solely for a study of workplace violence in public psychiatric and prison settings in the state. The department shall contract and collaborate with the Washington state institute for public policy to conduct a study of workplace violence at western and eastern state hospitals and two state correctional facilities. The purpose of the study is to obtain knowledge that will lead to recommendations to prevent workplace violence in these settings. The study shall include, but is not limited to: (a) A review of workers compensation claim data and workplace safety plans; (b) worksite walkthroughs of selected injury events to assess the physical environment; (c) an examination of workplace violence policies and procedures; (d) an assessment of violence prevention and safety programs; (e) an examination of micro-level interactions in conjunction with a safety incident for root cause analysis; (f) an estimate of costs to implement recommendations; and (g) an assessment of return on investment. A report on research findings and recommendations is due to the departments of corrections and social and health services and the appropriate policy and fiscal committees of the legislature by December 1, 2016.</w:t>
      </w:r>
    </w:p>
    <w:p>
      <w:pPr>
        <w:spacing w:before="0" w:after="0" w:line="408" w:lineRule="exact"/>
        <w:ind w:left="0" w:right="0" w:firstLine="576"/>
        <w:jc w:val="left"/>
      </w:pPr>
      <w:r>
        <w:rPr/>
        <w:t xml:space="preserve">(9) $250,000 of the accident fund</w:t>
      </w:r>
      <w:r>
        <w:rPr>
          <w:rFonts w:ascii="Times New Roman" w:hAnsi="Times New Roman"/>
        </w:rPr>
        <w:t xml:space="preserve">—</w:t>
      </w:r>
      <w:r>
        <w:rPr/>
        <w:t xml:space="preserve">state appropriation and $250,000 of the medical aid account</w:t>
      </w:r>
      <w:r>
        <w:rPr>
          <w:rFonts w:ascii="Times New Roman" w:hAnsi="Times New Roman"/>
        </w:rPr>
        <w:t xml:space="preserve">—</w:t>
      </w:r>
      <w:r>
        <w:rPr/>
        <w:t xml:space="preserve">state appropriation are provided solely for the department to conduct a pilot program to allow five retrospective rating plan groups to assist the department in the processing of claims as provided in this section. The pilot program must allow retrospective rating plan groups to schedule independent medical examinations and consultations and vocational rehabilitation assessments beginning January 1, 2016. Groups may apply to be part of the pilot program. From the applications submitted, the department must select groups to ensure diversity of retrospective rating groups based on size of premium, industries and risk classifications in the group, and past history of retrospective rating program performance. The department must develop a protocol and procedures for scheduling by groups and provide training to those groups selected. Charges incurred by the retrospective rating plan groups for independent medical examinations or vocational rehabilitation assessments must be charged against the claim. The department retains the final authority over decisions with respect to any individual claim and may take corrective action, including removing a group from the pilot if protocol or procedures are not followed. A report on impacts of the pilot program is due to the appropriate policy committees of the legislature by December 1, 2016.</w:t>
      </w:r>
    </w:p>
    <w:p>
      <w:pPr>
        <w:spacing w:before="0" w:after="0" w:line="408" w:lineRule="exact"/>
        <w:ind w:left="0" w:right="0" w:firstLine="576"/>
        <w:jc w:val="left"/>
      </w:pPr>
      <w:r>
        <w:rPr/>
        <w:t xml:space="preserve">(10)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w:t>
      </w:r>
    </w:p>
    <w:p>
      <w:pPr>
        <w:spacing w:before="0" w:after="0" w:line="408" w:lineRule="exact"/>
        <w:ind w:left="0" w:right="0" w:firstLine="576"/>
        <w:jc w:val="left"/>
      </w:pPr>
      <w:r>
        <w:rPr/>
        <w:t xml:space="preserve">(11) $25,000 of the public works administration</w:t>
      </w:r>
      <w:r>
        <w:rPr>
          <w:rFonts w:ascii="Times New Roman" w:hAnsi="Times New Roman"/>
        </w:rPr>
        <w:t xml:space="preserve">—</w:t>
      </w:r>
      <w:r>
        <w:rPr/>
        <w:t xml:space="preserve">state appropriation is provided solely for the department to conduct a pilot program to improve the accuracy of prevailing wage survey data by sending a copy of wage survey forms submitted by interested parties on behalf of a contractor or employer when that contractor or employer has not signed the survey form. When sending a copy, the department must include a notice and procedure for the contractor or employer to dispute the accuracy of the data on the form. If the contractor or employer chooses to dispute the data on the form, the contractor or employer must provide the department with certified payroll records within thirty days of receiving the department's notice. If the contractor or employer does not respond to the notice, the accuracy of the data on the survey form is deemed to be accurate. The department, in consultation with its prevailing wage advisory committee, shall select the types of contractor, employers, or public works projects to be part of the pilot program. The department must assess the information submitted by the contractor or employer and adjust the data when appropriate to calculate prevailing wage rates. The department must assess the impact the pilot program has on prevailing wage rate accuracy and report to the appropriate committees of the legislature by December 1, 2016.</w:t>
      </w:r>
    </w:p>
    <w:p>
      <w:pPr>
        <w:spacing w:before="0" w:after="0" w:line="408" w:lineRule="exact"/>
        <w:ind w:left="0" w:right="0" w:firstLine="576"/>
        <w:jc w:val="left"/>
      </w:pPr>
      <w:r>
        <w:rPr/>
        <w:t xml:space="preserve">(12) The department is prohibited from incurring costs for travel, lodging, per diem, and other costs for conferences, meetings, and other events sponsored by the department for its employees until contingency reserve targets are met.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$1,670,000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$3,347,000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$19,938,000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$59,894,000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$149,637,000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$107,157,000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$15,281,000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$1,583,000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$2,057,000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$4,720,000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$2,420,000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tabs>
          <w:tab w:val="right" w:leader="dot" w:pos="9936"/>
        </w:tabs>
        <w:ind w:left="0" w:right="0" w:firstLine="1440"/>
      </w:pPr>
      <w:r>
        <w:rPr/>
        <w:t xml:space="preserve">TOTAL APPROPRIATION</w:t>
      </w:r>
      <w:r>
        <w:tab/>
      </w:r>
      <w:r>
        <w:rPr/>
        <w:t xml:space="preserve">$972,823,000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Substitute Senate Bill No. 5488 (applied behavior analysis). If the bill is not enacted by June 30, 2015, the amount provided in this subsection shall lapse.</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implementation of Senate Bill No. 5689 (diabetes epidemic). If the bill is not enacted by June 30, 2015, the amounts provided in this subsection shall lapse.</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Substitute Senate Bill No. 5027 (prescription drug monitoring). If the bill is not enacted by June 30, 2015, the amount provided in this subsection shall lapse.</w:t>
      </w:r>
    </w:p>
    <w:p>
      <w:pPr>
        <w:spacing w:before="0" w:after="0" w:line="408" w:lineRule="exact"/>
        <w:ind w:left="0" w:right="0" w:firstLine="576"/>
        <w:jc w:val="left"/>
      </w:pPr>
      <w:r>
        <w:rPr/>
        <w:t xml:space="preserve">(5) $2,703,000 of the general fund</w:t>
      </w:r>
      <w:r>
        <w:rPr>
          <w:rFonts w:ascii="Times New Roman" w:hAnsi="Times New Roman"/>
        </w:rPr>
        <w:t xml:space="preserve">—</w:t>
      </w:r>
      <w:r>
        <w:rPr/>
        <w:t xml:space="preserve">state appropriation for fiscal year 2016 and $1,312,000 of the general fund</w:t>
      </w:r>
      <w:r>
        <w:rPr>
          <w:rFonts w:ascii="Times New Roman" w:hAnsi="Times New Roman"/>
        </w:rPr>
        <w:t xml:space="preserve">—</w:t>
      </w:r>
      <w:r>
        <w:rPr/>
        <w:t xml:space="preserve">state appropriation for fiscal year 2017 are provided solely for implementation of Second Substitute Senate Bill No. 5052 (cannabis patient protection). If the bill is not enacted by June 30, 2015, the amounts provided in this subsection shall lapse.</w:t>
      </w:r>
    </w:p>
    <w:p>
      <w:pPr>
        <w:spacing w:before="0" w:after="0" w:line="408" w:lineRule="exact"/>
        <w:ind w:left="0" w:right="0" w:firstLine="576"/>
        <w:jc w:val="left"/>
      </w:pPr>
      <w:r>
        <w:rPr/>
        <w:t xml:space="preserve">(6) $289,000 of the drinking water assistance account</w:t>
      </w:r>
      <w:r>
        <w:rPr>
          <w:rFonts w:ascii="Times New Roman" w:hAnsi="Times New Roman"/>
        </w:rPr>
        <w:t xml:space="preserve">—</w:t>
      </w:r>
      <w:r>
        <w:rPr/>
        <w:t xml:space="preserve">federal appropriation is provided solely for implementation of Engrossed Senate Bill No. 5251 (consolidated drinking loans). If the bill is not enacted by June 30, 2015, the amount provided in this subsection shall lapse.</w:t>
      </w:r>
    </w:p>
    <w:p>
      <w:pPr>
        <w:spacing w:before="0" w:after="0" w:line="408" w:lineRule="exact"/>
        <w:ind w:left="0" w:right="0" w:firstLine="576"/>
        <w:jc w:val="left"/>
      </w:pPr>
      <w:r>
        <w:rPr/>
        <w:t xml:space="preserve">(7) $1,680,000 of the general fund</w:t>
      </w:r>
      <w:r>
        <w:rPr>
          <w:rFonts w:ascii="Times New Roman" w:hAnsi="Times New Roman"/>
        </w:rPr>
        <w:t xml:space="preserve">—</w:t>
      </w:r>
      <w:r>
        <w:rPr/>
        <w:t xml:space="preserve">state appropriation for fiscal year 2016 and $2,170,000 of the general fund</w:t>
      </w:r>
      <w:r>
        <w:rPr>
          <w:rFonts w:ascii="Times New Roman" w:hAnsi="Times New Roman"/>
        </w:rPr>
        <w:t xml:space="preserve">—</w:t>
      </w:r>
      <w:r>
        <w:rPr/>
        <w:t xml:space="preserve">state appropriation for fiscal year 2017 are provided solely for a media-based education campaign that provides medically and scientifically accurate information about the health and safety risks posed by marijuana use, including support surveillance, assessment, and evaluation of the education campaign. Funding is also provided for prevention activities that target youth and populations with a high incidence of tobacco use.</w:t>
      </w:r>
    </w:p>
    <w:p>
      <w:pPr>
        <w:spacing w:before="0" w:after="0" w:line="408" w:lineRule="exact"/>
        <w:ind w:left="0" w:right="0" w:firstLine="576"/>
        <w:jc w:val="left"/>
      </w:pPr>
      <w:r>
        <w:rPr/>
        <w:t xml:space="preserve">(8) Within existing resources, the department of health, in cooperation with the department of ecology, shall evaluate whether the ASTM F2923-14 standard adequately protects the children of Washington from exposure to cadmium from children's jewelry.</w:t>
      </w:r>
    </w:p>
    <w:p>
      <w:pPr>
        <w:spacing w:before="0" w:after="0" w:line="408" w:lineRule="exact"/>
        <w:ind w:left="0" w:right="0" w:firstLine="576"/>
        <w:jc w:val="left"/>
      </w:pPr>
      <w:r>
        <w:rPr/>
        <w:t xml:space="preserve">(a) The department's report shall determine:</w:t>
      </w:r>
    </w:p>
    <w:p>
      <w:pPr>
        <w:spacing w:before="0" w:after="0" w:line="408" w:lineRule="exact"/>
        <w:ind w:left="0" w:right="0" w:firstLine="576"/>
        <w:jc w:val="left"/>
      </w:pPr>
      <w:r>
        <w:rPr/>
        <w:t xml:space="preserve">(i) Whether any instances of medical treatment of children in the state due to children being exposed to harmful levels of cadmium in jewelry has occurred;</w:t>
      </w:r>
    </w:p>
    <w:p>
      <w:pPr>
        <w:spacing w:before="0" w:after="0" w:line="408" w:lineRule="exact"/>
        <w:ind w:left="0" w:right="0" w:firstLine="576"/>
        <w:jc w:val="left"/>
      </w:pPr>
      <w:r>
        <w:rPr/>
        <w:t xml:space="preserve">(ii) Whether any other voluntary or mandatory standards address the risk of cadmium exposure to children and if so, how those standards compare to ASTM F2923-14;</w:t>
      </w:r>
    </w:p>
    <w:p>
      <w:pPr>
        <w:spacing w:before="0" w:after="0" w:line="408" w:lineRule="exact"/>
        <w:ind w:left="0" w:right="0" w:firstLine="576"/>
        <w:jc w:val="left"/>
      </w:pPr>
      <w:r>
        <w:rPr/>
        <w:t xml:space="preserve">(iii) To what extent federal agencies considered ASTM F2923-14 and found the standard adequate to address the potential risk of exposure to cadmium in children's jewelry;</w:t>
      </w:r>
    </w:p>
    <w:p>
      <w:pPr>
        <w:spacing w:before="0" w:after="0" w:line="408" w:lineRule="exact"/>
        <w:ind w:left="0" w:right="0" w:firstLine="576"/>
        <w:jc w:val="left"/>
      </w:pPr>
      <w:r>
        <w:rPr/>
        <w:t xml:space="preserve">(iv) Whether any federal agency has determined that a total content limit for cadmium in children's jewelry could be scientifically supported to assess the potential risk of cadmium exposure to children; and</w:t>
      </w:r>
    </w:p>
    <w:p>
      <w:pPr>
        <w:spacing w:before="0" w:after="0" w:line="408" w:lineRule="exact"/>
        <w:ind w:left="0" w:right="0" w:firstLine="576"/>
        <w:jc w:val="left"/>
      </w:pPr>
      <w:r>
        <w:rPr/>
        <w:t xml:space="preserve">(v) What scientific justification exists to adopt different standards for cadmium in metal and plastic components of jewelry versus metal and plastic components of toys.</w:t>
      </w:r>
    </w:p>
    <w:p>
      <w:pPr>
        <w:spacing w:before="0" w:after="0" w:line="408" w:lineRule="exact"/>
        <w:ind w:left="0" w:right="0" w:firstLine="576"/>
        <w:jc w:val="left"/>
      </w:pPr>
      <w:r>
        <w:rPr/>
        <w:t xml:space="preserve">(b) The department shall report its findings to the appropriate legislative committees by December 1, 2015.</w:t>
      </w:r>
    </w:p>
    <w:p>
      <w:pPr>
        <w:spacing w:before="0" w:after="0" w:line="408" w:lineRule="exact"/>
        <w:ind w:left="0" w:right="0" w:firstLine="576"/>
        <w:jc w:val="left"/>
      </w:pPr>
      <w:r>
        <w:rPr/>
        <w:t xml:space="preserve">(9) $830,000 of the state toxics control account</w:t>
      </w:r>
      <w:r>
        <w:rPr>
          <w:rFonts w:ascii="Times New Roman" w:hAnsi="Times New Roman"/>
        </w:rPr>
        <w:t xml:space="preserve">—</w:t>
      </w:r>
      <w:r>
        <w:rPr/>
        <w:t xml:space="preserve">state appropriation is provided solely to develop and launch proactive efforts to prevent toxic chemical exposure during pregnancy and early life. The department shall identify priorities for exposure reduction, develop effective methods to reduce toxic threats, and direct policy and educational campaigns. The department shall conduct biomonitoring studies to assess actual exposure levels and to evaluate reduction activities.</w:t>
      </w:r>
    </w:p>
    <w:p>
      <w:pPr>
        <w:spacing w:before="0" w:after="0" w:line="408" w:lineRule="exact"/>
        <w:ind w:left="0" w:right="0" w:firstLine="576"/>
        <w:jc w:val="left"/>
      </w:pPr>
      <w:r>
        <w:rPr/>
        <w:t xml:space="preserve">(10)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(11)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(12)(a)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(c) The pharmacy quality assurance commission and the department of health shall observe and maintain the standards of practice in long-term care pharmacies in effect on January 1, 2014, when conducting audits and reviews of long-term care pharmacies. The pharmacy quality assurance commission shall engage in a stakeholder process to develop rules specific to long-term care pharmacies and shall submit proposed rules to the senate health care committee and house of representatives health care and wellness committee no later than November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$56,517,000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$114,187,000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$592,811,000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$588,658,000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$2,887,000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$7,632,000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$1,192,388,000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female inmate bed capacity in lieu of prison beds operated by the state.</w:t>
      </w:r>
    </w:p>
    <w:p>
      <w:pPr>
        <w:spacing w:before="0" w:after="0" w:line="408" w:lineRule="exact"/>
        <w:ind w:left="0" w:right="0" w:firstLine="576"/>
        <w:jc w:val="left"/>
      </w:pPr>
      <w:r>
        <w:rPr/>
        <w:t xml:space="preserve">(d)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(e)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(f) Within the amounts provided, the department of corrections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of Washington Medicine acts as the covered entity or safety-net provider beginning January 1, 2016.</w:t>
      </w:r>
    </w:p>
    <w:p>
      <w:pPr>
        <w:spacing w:before="0" w:after="0" w:line="408" w:lineRule="exact"/>
        <w:ind w:left="0" w:right="0" w:firstLine="576"/>
        <w:jc w:val="left"/>
      </w:pPr>
      <w:r>
        <w:rPr/>
        <w:t xml:space="preserve">(g) $630,000 of the general fund</w:t>
      </w:r>
      <w:r>
        <w:rPr>
          <w:rFonts w:ascii="Times New Roman" w:hAnsi="Times New Roman"/>
        </w:rPr>
        <w:t xml:space="preserve">—</w:t>
      </w:r>
      <w:r>
        <w:rPr/>
        <w:t xml:space="preserve">state appropriation for fiscal year 2016 and $2,611,000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$151,084,000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$152,497,000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$415,000</w:t>
      </w:r>
    </w:p>
    <w:p>
      <w:pPr>
        <w:tabs>
          <w:tab w:val="right" w:leader="dot" w:pos="9936"/>
        </w:tabs>
        <w:ind w:left="0" w:right="0" w:firstLine="1440"/>
      </w:pPr>
      <w:r>
        <w:rPr/>
        <w:t xml:space="preserve">TOTAL APPROPRIATION</w:t>
      </w:r>
      <w:r>
        <w:tab/>
      </w:r>
      <w:r>
        <w:rPr/>
        <w:t xml:space="preserve">$303,996,000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funding is sufficient to implement Senate Bill No. 5070 (supervision of domestic violence offenders).</w:t>
      </w:r>
    </w:p>
    <w:p>
      <w:pPr>
        <w:spacing w:before="0" w:after="0" w:line="408" w:lineRule="exact"/>
        <w:ind w:left="0" w:right="0" w:firstLine="576"/>
        <w:jc w:val="left"/>
      </w:pPr>
      <w:r>
        <w:rPr/>
        <w:t xml:space="preserve">(c) $1,372,000 of the general fund</w:t>
      </w:r>
      <w:r>
        <w:rPr>
          <w:rFonts w:ascii="Times New Roman" w:hAnsi="Times New Roman"/>
        </w:rPr>
        <w:t xml:space="preserve">—</w:t>
      </w:r>
      <w:r>
        <w:rPr/>
        <w:t xml:space="preserve">state appropriation for fiscal year 2016 and $5,946,000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spacing w:before="0" w:after="0" w:line="408" w:lineRule="exact"/>
        <w:ind w:left="0" w:right="0" w:firstLine="576"/>
        <w:jc w:val="left"/>
      </w:pPr>
      <w:r>
        <w:rPr/>
        <w:t xml:space="preserve">(d) The department shall implement and make necessary changes to policies and practices, to include contract changes with providers, in order to access medicaid funds for chemical dependency treatment services provided to eligible offenders within community settings. The department shall ensure that its providers bill the health care authority system directly for services rendered.</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spacing w:before="120" w:after="0" w:line="408" w:lineRule="exact"/>
        <w:ind w:left="0" w:right="0" w:firstLine="576"/>
        <w:jc w:val="left"/>
      </w:pPr>
      <w:r>
        <w:rPr/>
        <w:t xml:space="preserve">(5)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$49,304,000</w:t>
      </w:r>
    </w:p>
    <w:p>
      <w:pPr>
        <w:tabs>
          <w:tab w:val="right" w:leader="dot" w:pos="9936"/>
        </w:tabs>
        <w:ind w:left="0" w:right="0" w:firstLine="1440"/>
      </w:pPr>
      <w:r>
        <w:rPr/>
        <w:t xml:space="preserve">TOTAL APPROPRIATION</w:t>
      </w:r>
      <w:r>
        <w:tab/>
      </w:r>
      <w:r>
        <w:rPr/>
        <w:t xml:space="preserve">$95,007,000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(5)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$186,000 of the general fund</w:t>
      </w:r>
      <w:r>
        <w:rPr>
          <w:rFonts w:ascii="Times New Roman" w:hAnsi="Times New Roman"/>
        </w:rPr>
        <w:t xml:space="preserve">—</w:t>
      </w:r>
      <w:r>
        <w:rPr/>
        <w:t xml:space="preserve">state appropriation for fiscal year 2016 and $807,000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spacing w:before="120" w:after="0" w:line="408" w:lineRule="exact"/>
        <w:ind w:left="0" w:right="0" w:firstLine="576"/>
        <w:jc w:val="left"/>
      </w:pPr>
      <w:r>
        <w:rPr/>
        <w:t xml:space="preserve">(6)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$41,751,000</w:t>
      </w:r>
    </w:p>
    <w:p>
      <w:pPr>
        <w:tabs>
          <w:tab w:val="right" w:leader="dot" w:pos="9936"/>
        </w:tabs>
        <w:ind w:left="0" w:right="0" w:firstLine="1440"/>
      </w:pPr>
      <w:r>
        <w:rPr/>
        <w:t xml:space="preserve">TOTAL APPROPRIATION</w:t>
      </w:r>
      <w:r>
        <w:tab/>
      </w:r>
      <w:r>
        <w:rPr/>
        <w:t xml:space="preserve">$86,884,000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corrections shall suspend all payments to the department of enterprise services for real estate services. The department of corrections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$277,844,000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$24,105,000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If, by December 31, 2015, the department of enterprise services and the office of financial management do not complete the competitive procurement under RCW 43.19.008(5) to determine if a private vendor should perform real estate services for state agencies, the employment security department shall suspend all payments to the department of enterprise services for real estate services. The employment security department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$2,078,000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$12,916,000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$1,743,000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$124,471,000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$9,157,000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$40,408,000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$43,693,000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$5,842,000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$14,053,000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$6,837,000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$485,000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$2,291,000</w:t>
      </w:r>
    </w:p>
    <w:p>
      <w:pPr>
        <w:tabs>
          <w:tab w:val="right" w:leader="dot" w:pos="9936"/>
        </w:tabs>
        <w:ind w:left="0" w:right="0" w:firstLine="1440"/>
      </w:pPr>
      <w:r>
        <w:rPr/>
        <w:t xml:space="preserve">TOTAL APPROPRIATION</w:t>
      </w:r>
      <w:r>
        <w:tab/>
      </w:r>
      <w:r>
        <w:rPr/>
        <w:t xml:space="preserve">$464,096,000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$120,000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(3) $990,000 of the state toxics control account</w:t>
      </w:r>
      <w:r>
        <w:rPr>
          <w:rFonts w:ascii="Times New Roman" w:hAnsi="Times New Roman"/>
        </w:rPr>
        <w:t xml:space="preserve">—</w:t>
      </w:r>
      <w:r>
        <w:rPr/>
        <w:t xml:space="preserve">state appropriation and $1,250,000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(4) Within amounts provided in this section, the department of health, in cooperation with the department of ecology, shall evaluate whether the ASTM F2923-14 standard adequately protects the children of Washington from exposure to cadmium from children's jewelry. The department's report shall determine:</w:t>
      </w:r>
    </w:p>
    <w:p>
      <w:pPr>
        <w:spacing w:before="0" w:after="0" w:line="408" w:lineRule="exact"/>
        <w:ind w:left="0" w:right="0" w:firstLine="576"/>
        <w:jc w:val="left"/>
      </w:pPr>
      <w:r>
        <w:rPr/>
        <w:t xml:space="preserve">(a) Whether any instances of medical treatment of children in the state due to children being exposed to harmful levels of cadmium in jewelry has occurred;</w:t>
      </w:r>
    </w:p>
    <w:p>
      <w:pPr>
        <w:spacing w:before="0" w:after="0" w:line="408" w:lineRule="exact"/>
        <w:ind w:left="0" w:right="0" w:firstLine="576"/>
        <w:jc w:val="left"/>
      </w:pPr>
      <w:r>
        <w:rPr/>
        <w:t xml:space="preserve">(b) Whether any other voluntary or mandatory standards address the risk of cadmium exposure to children and if so, how those standards compare to ASTM F2923-14;</w:t>
      </w:r>
    </w:p>
    <w:p>
      <w:pPr>
        <w:spacing w:before="0" w:after="0" w:line="408" w:lineRule="exact"/>
        <w:ind w:left="0" w:right="0" w:firstLine="576"/>
        <w:jc w:val="left"/>
      </w:pPr>
      <w:r>
        <w:rPr/>
        <w:t xml:space="preserve">(c) To what extent federal agencies considered ASTM F2923-14 and found the standard adequate to address the potential risk of exposure to cadmium in children's jewelry;</w:t>
      </w:r>
    </w:p>
    <w:p>
      <w:pPr>
        <w:spacing w:before="0" w:after="0" w:line="408" w:lineRule="exact"/>
        <w:ind w:left="0" w:right="0" w:firstLine="576"/>
        <w:jc w:val="left"/>
      </w:pPr>
      <w:r>
        <w:rPr/>
        <w:t xml:space="preserve">(d) Whether any federal agency has determined that a total content limit for cadmium in children's jewelry could be scientifically supported to assess the potential risk of cadmium exposure to children; and</w:t>
      </w:r>
    </w:p>
    <w:p>
      <w:pPr>
        <w:spacing w:before="0" w:after="0" w:line="408" w:lineRule="exact"/>
        <w:ind w:left="0" w:right="0" w:firstLine="576"/>
        <w:jc w:val="left"/>
      </w:pPr>
      <w:r>
        <w:rPr/>
        <w:t xml:space="preserve">(e) What scientific justification exists to adopt different standards for cadmium in metal and plastic components of jewelry versus metal and plastic components of toys.</w:t>
      </w:r>
    </w:p>
    <w:p>
      <w:pPr>
        <w:spacing w:before="0" w:after="0" w:line="408" w:lineRule="exact"/>
        <w:ind w:left="0" w:right="0" w:firstLine="576"/>
        <w:jc w:val="left"/>
      </w:pPr>
      <w:r>
        <w:rPr/>
        <w:t xml:space="preserve">The department shall report its findings to the appropriate legislative committees by December 1, 2015.</w:t>
      </w:r>
    </w:p>
    <w:p>
      <w:pPr>
        <w:spacing w:before="0" w:after="0" w:line="408" w:lineRule="exact"/>
        <w:ind w:left="0" w:right="0" w:firstLine="576"/>
        <w:jc w:val="left"/>
      </w:pPr>
      <w:r>
        <w:rPr/>
        <w:t xml:space="preserve">(5)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(6) $584,000 of the state toxics control account</w:t>
      </w:r>
      <w:r>
        <w:rPr>
          <w:rFonts w:ascii="Times New Roman" w:hAnsi="Times New Roman"/>
        </w:rPr>
        <w:t xml:space="preserve">—</w:t>
      </w:r>
      <w:r>
        <w:rPr/>
        <w:t xml:space="preserve">state appropriation, $4,000,000 of the local toxics control account</w:t>
      </w:r>
      <w:r>
        <w:rPr>
          <w:rFonts w:ascii="Times New Roman" w:hAnsi="Times New Roman"/>
        </w:rPr>
        <w:t xml:space="preserve">—</w:t>
      </w:r>
      <w:r>
        <w:rPr/>
        <w:t xml:space="preserve">state appropriation, and $1,316,000 of the oil spill prevention account</w:t>
      </w:r>
      <w:r>
        <w:rPr>
          <w:rFonts w:ascii="Times New Roman" w:hAnsi="Times New Roman"/>
        </w:rPr>
        <w:t xml:space="preserve">—</w:t>
      </w:r>
      <w:r>
        <w:rPr/>
        <w:t xml:space="preserve">state appropriation are provided solely for the implementation of Engrossed Second Substitute Senate Bill No. 5057 (hazardous materials transport). If the bill is not enacted by June 30, 2015, the amounts provided in this subsection shall lapse.</w:t>
      </w:r>
    </w:p>
    <w:p>
      <w:pPr>
        <w:spacing w:before="0" w:after="0" w:line="408" w:lineRule="exact"/>
        <w:ind w:left="0" w:right="0" w:firstLine="576"/>
        <w:jc w:val="left"/>
      </w:pPr>
      <w:r>
        <w:rPr/>
        <w:t xml:space="preserve">(7) $56,000 of the flood control assistance account</w:t>
      </w:r>
      <w:r>
        <w:rPr>
          <w:rFonts w:ascii="Times New Roman" w:hAnsi="Times New Roman"/>
        </w:rPr>
        <w:t xml:space="preserve">—</w:t>
      </w:r>
      <w:r>
        <w:rPr/>
        <w:t xml:space="preserve">state appropriation is provided solely for the implementation of Engrossed Substitute Senate Bill No. 5347 (flood plains/agriculture land). If the bill is not enacted by June 30, 2015, the amount provided in this subsection shall lapse.</w:t>
      </w:r>
    </w:p>
    <w:p>
      <w:pPr>
        <w:spacing w:before="0" w:after="0" w:line="408" w:lineRule="exact"/>
        <w:ind w:left="0" w:right="0" w:firstLine="576"/>
        <w:jc w:val="left"/>
      </w:pPr>
      <w:r>
        <w:rPr/>
        <w:t xml:space="preserve">(8) $6,000 of the general fund</w:t>
      </w:r>
      <w:r>
        <w:rPr>
          <w:rFonts w:ascii="Times New Roman" w:hAnsi="Times New Roman"/>
        </w:rPr>
        <w:t xml:space="preserve">—</w:t>
      </w:r>
      <w:r>
        <w:rPr/>
        <w:t xml:space="preserve">state appropriation for fiscal year 2016, $4,000 of the general fund</w:t>
      </w:r>
      <w:r>
        <w:rPr>
          <w:rFonts w:ascii="Times New Roman" w:hAnsi="Times New Roman"/>
        </w:rPr>
        <w:t xml:space="preserve">—</w:t>
      </w:r>
      <w:r>
        <w:rPr/>
        <w:t xml:space="preserve">state appropriation for fiscal year 2017, $5,000 of the state toxics control account</w:t>
      </w:r>
      <w:r>
        <w:rPr>
          <w:rFonts w:ascii="Times New Roman" w:hAnsi="Times New Roman"/>
        </w:rPr>
        <w:t xml:space="preserve">—</w:t>
      </w:r>
      <w:r>
        <w:rPr/>
        <w:t xml:space="preserve">state appropriation, and $1,000 of the water quality permit account</w:t>
      </w:r>
      <w:r>
        <w:rPr>
          <w:rFonts w:ascii="Times New Roman" w:hAnsi="Times New Roman"/>
        </w:rPr>
        <w:t xml:space="preserve">—</w:t>
      </w:r>
      <w:r>
        <w:rPr/>
        <w:t xml:space="preserve">state appropriation are provided solely for the implementation of Substitute Senate Bill No. 5622 (agency land use actions). If the bill is not enacted by June 30, 2015, the amounts provided in this subsection shall lapse.</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$112,855,000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$135,155,000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September 1, 2015.</w:t>
      </w:r>
    </w:p>
    <w:p>
      <w:pPr>
        <w:spacing w:before="0" w:after="0" w:line="408" w:lineRule="exact"/>
        <w:ind w:left="0" w:right="0" w:firstLine="576"/>
        <w:jc w:val="left"/>
      </w:pPr>
      <w:r>
        <w:rPr/>
        <w:t xml:space="preserve">(3) During the 2015-2017 fiscal biennium, the commission shall not close any state park.</w:t>
      </w:r>
    </w:p>
    <w:p>
      <w:pPr>
        <w:spacing w:before="0" w:after="0" w:line="408" w:lineRule="exact"/>
        <w:ind w:left="0" w:right="0" w:firstLine="576"/>
        <w:jc w:val="left"/>
      </w:pPr>
      <w:r>
        <w:rPr/>
        <w:t xml:space="preserve">(4) During fiscal years 2016 and 2017, the commission must design and implement a recreational metal detector pilot project throughout the state park system. The commission must authorize the recreational use of metal detectors in all developed and disturbed areas of state parks including in campsites, parking areas, boat launches, swim beach areas, and similar areas that have been subject to development. Metal detector use in these areas is subject to reasonable rules to protect natural, cultural, and historical resources. State parks may identify areas of a particular park to be excluded from the pilot project based on the likelihood of impacts to natural, cultural, or historical resources in that specific park. By June 30, 2017, the commission must provide a report to the appropriate committees of the senate and house of representatives describing the results of the pilot project, any documented recreational metal detector use, and any documented impacts to natural, cultural, and historical resources.</w:t>
      </w:r>
    </w:p>
    <w:p>
      <w:pPr>
        <w:spacing w:before="0" w:after="0" w:line="408" w:lineRule="exact"/>
        <w:ind w:left="0" w:right="0" w:firstLine="576"/>
        <w:jc w:val="left"/>
      </w:pPr>
      <w:r>
        <w:rPr/>
        <w:t xml:space="preserve">(5) $250,000 of the parks renewal and stewardship account</w:t>
      </w:r>
      <w:r>
        <w:rPr>
          <w:rFonts w:ascii="Times New Roman" w:hAnsi="Times New Roman"/>
        </w:rPr>
        <w:t xml:space="preserve">—</w:t>
      </w:r>
      <w:r>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a neutral third party to facilitate meetings and discussions with parties involved in the process; and provide a report to the appropriate committees of the legislature by December 1, 2016.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$2,400,000</w:t>
      </w:r>
    </w:p>
    <w:p>
      <w:pPr>
        <w:tabs>
          <w:tab w:val="right" w:leader="dot" w:pos="9936"/>
        </w:tabs>
        <w:ind w:left="0" w:right="0" w:firstLine="1440"/>
      </w:pPr>
      <w:r>
        <w:rPr/>
        <w:t xml:space="preserve">TOTAL APPROPRIATION</w:t>
      </w:r>
      <w:r>
        <w:tab/>
      </w:r>
      <w:r>
        <w:rPr/>
        <w:t xml:space="preserve">$25,846,000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w:t>
      </w:r>
      <w:r>
        <w:rPr>
          <w:rFonts w:ascii="Times New Roman" w:hAnsi="Times New Roman"/>
        </w:rPr>
        <w:t xml:space="preserve">—</w:t>
      </w:r>
      <w:r>
        <w:rPr/>
        <w:t xml:space="preserve">state appropriation is provided solely to implement the voluntary stewardship program. This amount may not be used to fund agency indirect and administrative expenses.</w:t>
      </w:r>
    </w:p>
    <w:p>
      <w:pPr>
        <w:spacing w:before="0" w:after="0" w:line="408" w:lineRule="exact"/>
        <w:ind w:left="0" w:right="0" w:firstLine="576"/>
        <w:jc w:val="left"/>
      </w:pPr>
      <w:r>
        <w:rPr/>
        <w:t xml:space="preserve">(2) $42,000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plains/agriculture land). If the bill is not enacted by June 30, 2015, the amounts provided in this subsection shall lapse.</w:t>
      </w:r>
    </w:p>
    <w:p>
      <w:pPr>
        <w:spacing w:before="0" w:after="0" w:line="408" w:lineRule="exact"/>
        <w:ind w:left="0" w:right="0" w:firstLine="576"/>
        <w:jc w:val="left"/>
      </w:pPr>
      <w:r>
        <w:rPr/>
        <w:t xml:space="preserve">(3) $361,000 of the general fund</w:t>
      </w:r>
      <w:r>
        <w:rPr>
          <w:rFonts w:ascii="Times New Roman" w:hAnsi="Times New Roman"/>
        </w:rPr>
        <w:t xml:space="preserve">—</w:t>
      </w:r>
      <w:r>
        <w:rPr/>
        <w:t xml:space="preserve">state appropriation for fiscal year 2016 and $361,000 of the general fund</w:t>
      </w:r>
      <w:r>
        <w:rPr>
          <w:rFonts w:ascii="Times New Roman" w:hAnsi="Times New Roman"/>
        </w:rPr>
        <w:t xml:space="preserve">—</w:t>
      </w:r>
      <w:r>
        <w:rPr/>
        <w:t xml:space="preserve">state appropriation for fiscal year 2017 are provided solely for the state conservation commission to provide technical assistance and grants to conservation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$60,264,000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$16,465,000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$2,935,000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$106,283,000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$380,607,000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(6)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spacing w:before="0" w:after="0" w:line="408" w:lineRule="exact"/>
        <w:ind w:left="0" w:right="0" w:firstLine="576"/>
        <w:jc w:val="left"/>
      </w:pPr>
      <w:r>
        <w:rPr/>
        <w:t xml:space="preserve">(7) $112,000 of the general fund</w:t>
      </w:r>
      <w:r>
        <w:rPr>
          <w:rFonts w:ascii="Times New Roman" w:hAnsi="Times New Roman"/>
        </w:rPr>
        <w:t xml:space="preserve">—</w:t>
      </w:r>
      <w:r>
        <w:rPr/>
        <w:t xml:space="preserve">state appropriation for fiscal year 2016 and $112,000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 land). If the bill is not enacted by June 30, 2015, the amounts provided in this subsection shall lapse.</w:t>
      </w:r>
    </w:p>
    <w:p>
      <w:pPr>
        <w:spacing w:before="0" w:after="0" w:line="408" w:lineRule="exact"/>
        <w:ind w:left="0" w:right="0" w:firstLine="576"/>
        <w:jc w:val="left"/>
      </w:pPr>
      <w:r>
        <w:rPr/>
        <w:t xml:space="preserve">(8) $209,000 of the general fund</w:t>
      </w:r>
      <w:r>
        <w:rPr>
          <w:rFonts w:ascii="Times New Roman" w:hAnsi="Times New Roman"/>
        </w:rPr>
        <w:t xml:space="preserve">—</w:t>
      </w:r>
      <w:r>
        <w:rPr/>
        <w:t xml:space="preserve">state appropriation for fiscal year 2016 and $212,000 of the general fund</w:t>
      </w:r>
      <w:r>
        <w:rPr>
          <w:rFonts w:ascii="Times New Roman" w:hAnsi="Times New Roman"/>
        </w:rPr>
        <w:t xml:space="preserve">—</w:t>
      </w:r>
      <w:r>
        <w:rPr/>
        <w:t xml:space="preserve">state appropriation for fiscal year 2017 are provided solely for the implementation of Substitute Senate Bill No. 5960 (wolf conservation and management). If the bill is not enacted by June 30, 2015, the amounts provided in this subsection shall lapse.</w:t>
      </w:r>
    </w:p>
    <w:p>
      <w:pPr>
        <w:spacing w:before="0" w:after="0" w:line="408" w:lineRule="exact"/>
        <w:ind w:left="0" w:right="0" w:firstLine="576"/>
        <w:jc w:val="left"/>
      </w:pPr>
      <w:r>
        <w:rPr/>
        <w:t xml:space="preserve">(9) $273,000 of the general fund</w:t>
      </w:r>
      <w:r>
        <w:rPr>
          <w:rFonts w:ascii="Times New Roman" w:hAnsi="Times New Roman"/>
        </w:rPr>
        <w:t xml:space="preserve">—</w:t>
      </w:r>
      <w:r>
        <w:rPr/>
        <w:t xml:space="preserve">state appropriation for fiscal year 2016 and $273,000 of the general fund</w:t>
      </w:r>
      <w:r>
        <w:rPr>
          <w:rFonts w:ascii="Times New Roman" w:hAnsi="Times New Roman"/>
        </w:rPr>
        <w:t xml:space="preserve">—</w:t>
      </w:r>
      <w:r>
        <w:rPr/>
        <w:t xml:space="preserve">state appropriation for fiscal year 2017 are provided solely for the implementation of Substitute Senate Bill No. 5166 (forage fish management).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$47,898,000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$51,916,000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$4,603,000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$8,398,000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$109,959,000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$3,804,000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$1,726,000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$337,329,000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$141,000 of the general fund</w:t>
      </w:r>
      <w:r>
        <w:rPr>
          <w:rFonts w:ascii="Times New Roman" w:hAnsi="Times New Roman"/>
        </w:rPr>
        <w:t xml:space="preserve">—</w:t>
      </w:r>
      <w:r>
        <w:rPr/>
        <w:t xml:space="preserve">state appropriation for fiscal year 2016 and $141,000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spacing w:before="0" w:after="0" w:line="408" w:lineRule="exact"/>
        <w:ind w:left="0" w:right="0" w:firstLine="576"/>
        <w:jc w:val="left"/>
      </w:pPr>
      <w:r>
        <w:rPr/>
        <w:t xml:space="preserve">(9) $207,000 of the resources management cost account</w:t>
      </w:r>
      <w:r>
        <w:rPr>
          <w:rFonts w:ascii="Times New Roman" w:hAnsi="Times New Roman"/>
        </w:rPr>
        <w:t xml:space="preserve">—</w:t>
      </w:r>
      <w:r>
        <w:rPr/>
        <w:t xml:space="preserve">state appropriation is provided solely for the implementation of Engrossed Substitute Senate Bill No. 5347 (flood plains/ag land).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$5,826,000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$65,709,000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2016 and $5,302,905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(3) $31,000 of the general fund</w:t>
      </w:r>
      <w:r>
        <w:rPr>
          <w:rFonts w:ascii="Times New Roman" w:hAnsi="Times New Roman"/>
        </w:rPr>
        <w:t xml:space="preserve">—</w:t>
      </w:r>
      <w:r>
        <w:rPr/>
        <w:t xml:space="preserve">state appropriation for fiscal year 2016 is provided solely for implementation of Engrossed Substitute Senate Bill No. 5347 (flood plains/ag lands).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$979,000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$4,065,000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$11,246,000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$1,794,000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$17,678,000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$31,000</w:t>
      </w:r>
    </w:p>
    <w:p>
      <w:pPr>
        <w:tabs>
          <w:tab w:val="right" w:leader="dot" w:pos="9936"/>
        </w:tabs>
        <w:ind w:left="0" w:right="0" w:firstLine="1440"/>
      </w:pPr>
      <w:r>
        <w:rPr/>
        <w:t xml:space="preserve">TOTAL APPROPRIATION</w:t>
      </w:r>
      <w:r>
        <w:tab/>
      </w:r>
      <w:r>
        <w:rPr/>
        <w:t xml:space="preserve">$42,390,000</w:t>
      </w:r>
    </w:p>
    <w:p>
      <w:pPr>
        <w:spacing w:before="120" w:after="0" w:line="408" w:lineRule="exact"/>
        <w:ind w:left="0" w:right="0" w:firstLine="576"/>
        <w:jc w:val="left"/>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licensing shall suspend all payments to the department of enterprise services for real estate services. The department of licensing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$3,023,000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$6,048,000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$1,388,000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$227,000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$9,897,000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$13,490,000</w:t>
      </w:r>
    </w:p>
    <w:p>
      <w:pPr>
        <w:tabs>
          <w:tab w:val="right" w:leader="dot" w:pos="9936"/>
        </w:tabs>
        <w:ind w:left="0" w:right="0" w:firstLine="1440"/>
      </w:pPr>
      <w:r>
        <w:rPr/>
        <w:t xml:space="preserve">TOTAL APPROPRIATION</w:t>
      </w:r>
      <w:r>
        <w:tab/>
      </w:r>
      <w:r>
        <w:rPr/>
        <w:t xml:space="preserve">$138,385,000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$1,219,000</w:t>
      </w:r>
    </w:p>
    <w:p>
      <w:pPr>
        <w:spacing w:before="120" w:after="0" w:line="408" w:lineRule="exact"/>
        <w:ind w:left="0" w:right="0" w:firstLine="576"/>
        <w:jc w:val="left"/>
      </w:pPr>
      <w:r>
        <w:rPr/>
        <w:t xml:space="preserve">The appropriation in this section is subject to the following conditions and limitations: The highway safety account</w:t>
      </w:r>
      <w:r>
        <w:rPr>
          <w:rFonts w:ascii="Times New Roman" w:hAnsi="Times New Roman"/>
        </w:rPr>
        <w:t xml:space="preserve">—</w:t>
      </w:r>
      <w:r>
        <w:rPr/>
        <w:t xml:space="preserve">state appropriation, not to exceed the revenue generated under section 5(4) of Second Substitute Senate Bill No. 5105 (DUI felonies), is provided solely for grants to organizations within counties targeted for programs to reduce driving under the influence of alcohol and drugs. If Second Substitute Senate Bill No. 5105 is not enacted by June 30, 2015, the amount appropriated in this 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$202,000</w:t>
      </w:r>
    </w:p>
    <w:p>
      <w:pPr>
        <w:tabs>
          <w:tab w:val="right" w:leader="dot" w:pos="9936"/>
        </w:tabs>
        <w:ind w:left="0" w:right="0" w:firstLine="1440"/>
      </w:pPr>
      <w:r>
        <w:rPr/>
        <w:t xml:space="preserve">TOTAL APPROPRIATION</w:t>
      </w:r>
      <w:r>
        <w:tab/>
      </w:r>
      <w:r>
        <w:rPr/>
        <w:t xml:space="preserve">$140,483,000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(d)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State funds shall not be used for the purposes of a special assistant for governmental relations in the chief of staff's office.</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$2,791,000 of the general fund</w:t>
      </w:r>
      <w:r>
        <w:rPr>
          <w:rFonts w:ascii="Times New Roman" w:hAnsi="Times New Roman"/>
        </w:rPr>
        <w:t xml:space="preserve">—</w:t>
      </w:r>
      <w:r>
        <w:rPr/>
        <w:t xml:space="preserve">state appropriation for fiscal year 2016 and $2,367,000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of the general fund</w:t>
      </w:r>
      <w:r>
        <w:rPr>
          <w:rFonts w:ascii="Times New Roman" w:hAnsi="Times New Roman"/>
        </w:rPr>
        <w:t xml:space="preserve">—</w:t>
      </w:r>
      <w:r>
        <w:rPr/>
        <w:t xml:space="preserve">state appropriation for fiscal year 2016 and $1,050,000 of the general fund</w:t>
      </w:r>
      <w:r>
        <w:rPr>
          <w:rFonts w:ascii="Times New Roman" w:hAnsi="Times New Roman"/>
        </w:rPr>
        <w:t xml:space="preserve">—</w:t>
      </w:r>
      <w:r>
        <w:rPr/>
        <w:t xml:space="preserve">state appropriation for fiscal year 2017 are for the operation and expenses of the professional educator standards board;</w:t>
      </w:r>
    </w:p>
    <w:p>
      <w:pPr>
        <w:spacing w:before="0" w:after="0" w:line="408" w:lineRule="exact"/>
        <w:ind w:left="0" w:right="0" w:firstLine="576"/>
        <w:jc w:val="left"/>
      </w:pPr>
      <w:r>
        <w:rPr/>
        <w:t xml:space="preserve">(b) $715,000 of the general fund</w:t>
      </w:r>
      <w:r>
        <w:rPr>
          <w:rFonts w:ascii="Times New Roman" w:hAnsi="Times New Roman"/>
        </w:rPr>
        <w:t xml:space="preserve">—</w:t>
      </w:r>
      <w:r>
        <w:rPr/>
        <w:t xml:space="preserve">state appropriation for fiscal year 2016 and $715,000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w:t>
      </w:r>
    </w:p>
    <w:p>
      <w:pPr>
        <w:spacing w:before="0" w:after="0" w:line="408" w:lineRule="exact"/>
        <w:ind w:left="0" w:right="0" w:firstLine="576"/>
        <w:jc w:val="left"/>
      </w:pPr>
      <w:r>
        <w:rPr/>
        <w:t xml:space="preserve">(c) Retooling to teach conditional loans shall also be provided for educators pursuing a computer science endorsement.</w:t>
      </w:r>
    </w:p>
    <w:p>
      <w:pPr>
        <w:spacing w:before="0" w:after="0" w:line="408" w:lineRule="exact"/>
        <w:ind w:left="0" w:right="0" w:firstLine="576"/>
        <w:jc w:val="left"/>
      </w:pPr>
      <w:r>
        <w:rPr/>
        <w:t xml:space="preserve">(d)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(i) Include both written assessment and performance assessment; (ii) be offered by a national organization of professional sign language interpreters and transliterators; and (iii)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$1,001,000 of the general fund</w:t>
      </w:r>
      <w:r>
        <w:rPr>
          <w:rFonts w:ascii="Times New Roman" w:hAnsi="Times New Roman"/>
        </w:rPr>
        <w:t xml:space="preserve">—</w:t>
      </w:r>
      <w:r>
        <w:rPr/>
        <w:t xml:space="preserve">state appropriation for fiscal year 2016 and $577,000 of the general fund</w:t>
      </w:r>
      <w:r>
        <w:rPr>
          <w:rFonts w:ascii="Times New Roman" w:hAnsi="Times New Roman"/>
        </w:rPr>
        <w:t xml:space="preserve">—</w:t>
      </w:r>
      <w:r>
        <w:rPr/>
        <w:t xml:space="preserve">state appropriation for fiscal year 2017 are provided solely for paraeducator development. Of this amount $877,000 in fiscal year 2016 and $577,000 in fiscal year 2017 are provided solely for the implementation of Engrossed Second Substitute Senate Bill No. 5179 (paraeducator development). If the bill is not enacted by June 30, 2015, the amounts provided in this subsection for Engrossed Second Substitute Senate Bill No. 5179 (paraeducator development) shall lapse.</w:t>
      </w:r>
    </w:p>
    <w:p>
      <w:pPr>
        <w:spacing w:before="0" w:after="0" w:line="408" w:lineRule="exact"/>
        <w:ind w:left="0" w:right="0" w:firstLine="576"/>
        <w:jc w:val="left"/>
      </w:pPr>
      <w:r>
        <w:rPr/>
        <w:t xml:space="preserve">(e) The professional educator standards board, in its regular review and revision of teacher certification standards as required by RCW 28A.410.210, shall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this section. In addition to appropriate computer science content, the computer science endorsement standards must facilitate dual endorsement in computer science and mathematics or science, or another related endorsement in a high-demand subject as indicated by a school district.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$200,000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$933,000 of the general fund</w:t>
      </w:r>
      <w:r>
        <w:rPr>
          <w:rFonts w:ascii="Times New Roman" w:hAnsi="Times New Roman"/>
        </w:rPr>
        <w:t xml:space="preserve">—</w:t>
      </w:r>
      <w:r>
        <w:rPr/>
        <w:t xml:space="preserve">state appropriation for fiscal year 2016 and $933,000 of the general fund</w:t>
      </w:r>
      <w:r>
        <w:rPr>
          <w:rFonts w:ascii="Times New Roman" w:hAnsi="Times New Roman"/>
        </w:rPr>
        <w:t xml:space="preserve">—</w:t>
      </w:r>
      <w:r>
        <w:rPr/>
        <w:t xml:space="preserve">state appropriation for fiscal year 2017 are provided solely for implementation of Second Substitute Senate Bill No. 5252 (regional school safety). If the bill is not enacted by June 30, 2015, the amounts provided in this subsection shall lapse.</w:t>
      </w:r>
    </w:p>
    <w:p>
      <w:pPr>
        <w:spacing w:before="0" w:after="0" w:line="408" w:lineRule="exact"/>
        <w:ind w:left="0" w:right="0" w:firstLine="576"/>
        <w:jc w:val="left"/>
      </w:pPr>
      <w:r>
        <w:rPr/>
        <w:t xml:space="preserve">(27)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(28)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(30) $750,000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(31)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(32) $1,800,000 of the general fund</w:t>
      </w:r>
      <w:r>
        <w:rPr>
          <w:rFonts w:ascii="Times New Roman" w:hAnsi="Times New Roman"/>
        </w:rPr>
        <w:t xml:space="preserve">—</w:t>
      </w:r>
      <w:r>
        <w:rPr/>
        <w:t xml:space="preserve">state appropriation for fiscal year 2016 and $3,871,000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2016-17 school year.</w:t>
      </w:r>
    </w:p>
    <w:p>
      <w:pPr>
        <w:spacing w:before="0" w:after="0" w:line="408" w:lineRule="exact"/>
        <w:ind w:left="0" w:right="0" w:firstLine="576"/>
        <w:jc w:val="left"/>
      </w:pPr>
      <w:r>
        <w:rPr/>
        <w:t xml:space="preserve">(33)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(34)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(35) $50,000 of the general fund</w:t>
      </w:r>
      <w:r>
        <w:rPr>
          <w:rFonts w:ascii="Times New Roman" w:hAnsi="Times New Roman"/>
        </w:rPr>
        <w:t xml:space="preserve">—</w:t>
      </w:r>
      <w:r>
        <w:rPr/>
        <w:t xml:space="preserve">state appropriation for fiscal year 2016 and $153,000 of the general fund</w:t>
      </w:r>
      <w:r>
        <w:rPr>
          <w:rFonts w:ascii="Times New Roman" w:hAnsi="Times New Roman"/>
        </w:rPr>
        <w:t xml:space="preserve">—</w:t>
      </w:r>
      <w:r>
        <w:rPr/>
        <w:t xml:space="preserve">state appropriation for fiscal year 2017 are provided solely for implementation of Engrossed Second Substitute Senate Bill No. 5179 (paraeducator development). If the bill is not enacted by June 30, 2015, the amounts provided in this subsection shall lapse.</w:t>
      </w:r>
    </w:p>
    <w:p>
      <w:pPr>
        <w:spacing w:before="0" w:after="0" w:line="408" w:lineRule="exact"/>
        <w:ind w:left="0" w:right="0" w:firstLine="576"/>
        <w:jc w:val="left"/>
      </w:pPr>
      <w:r>
        <w:rPr/>
        <w:t xml:space="preserve">(36) $162,000 of the general fund</w:t>
      </w:r>
      <w:r>
        <w:rPr>
          <w:rFonts w:ascii="Times New Roman" w:hAnsi="Times New Roman"/>
        </w:rPr>
        <w:t xml:space="preserve">—</w:t>
      </w:r>
      <w:r>
        <w:rPr/>
        <w:t xml:space="preserve">state appropriation for fiscal year 2016 and $53,000 of the general fund</w:t>
      </w:r>
      <w:r>
        <w:rPr>
          <w:rFonts w:ascii="Times New Roman" w:hAnsi="Times New Roman"/>
        </w:rPr>
        <w:t xml:space="preserve">—</w:t>
      </w:r>
      <w:r>
        <w:rPr/>
        <w:t xml:space="preserve">state appropriation for fiscal year 2017 are provided solely for implementation of Engrossed Second Substitute Senate Bill No. 5688 (student skills). If the bill is not enacted by June 30, 2015, the amounts provided in this subsection shall lapse.</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dual-language instruction pilot program. A maximum of two school districts may participate; one of which must be the Auburn school district. Each school district shall provide a sequentially articulated world language program in elementary schools that provides instruction in Spanish and a Chinese language. School districts participating in the program must agree to: </w:t>
      </w:r>
    </w:p>
    <w:p>
      <w:pPr>
        <w:spacing w:before="0" w:after="0" w:line="408" w:lineRule="exact"/>
        <w:ind w:left="0" w:right="0" w:firstLine="576"/>
        <w:jc w:val="left"/>
      </w:pPr>
      <w:r>
        <w:rPr/>
        <w:t xml:space="preserve">(a) Assure that parents are informed of the availability of the language classes offered as a pilot program; and</w:t>
      </w:r>
    </w:p>
    <w:p>
      <w:pPr>
        <w:spacing w:before="0" w:after="0" w:line="408" w:lineRule="exact"/>
        <w:ind w:left="0" w:right="0" w:firstLine="576"/>
        <w:jc w:val="left"/>
      </w:pPr>
      <w:r>
        <w:rPr/>
        <w:t xml:space="preserve">(b) Participate in an evaluation of the program as determined by the superintendent of public instruction.</w:t>
      </w:r>
    </w:p>
    <w:p>
      <w:pPr>
        <w:spacing w:before="0" w:after="0" w:line="408" w:lineRule="exact"/>
        <w:ind w:left="0" w:right="0" w:firstLine="0"/>
        <w:jc w:val="left"/>
      </w:pPr>
      <w:r>
        <w:rPr/>
        <w:t xml:space="preserve">The superintendent of public instruction shall submit an annual report to the governor and the appropriate fiscal and education committees of the legislature summarizing the pilot program and its effectiveness. The report shall also include a recommendation as to whether or not the pilot program should be continued, expanded, or otherwise modified.</w:t>
      </w:r>
    </w:p>
    <w:p>
      <w:pPr>
        <w:spacing w:before="0" w:after="0" w:line="408" w:lineRule="exact"/>
        <w:ind w:left="0" w:right="0" w:firstLine="576"/>
        <w:jc w:val="left"/>
      </w:pPr>
      <w:r>
        <w:rPr/>
        <w:t xml:space="preserve">(38)(a)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(39) $1,122,000 of the general fund</w:t>
      </w:r>
      <w:r>
        <w:rPr>
          <w:rFonts w:ascii="Times New Roman" w:hAnsi="Times New Roman"/>
        </w:rPr>
        <w:t xml:space="preserve">—</w:t>
      </w:r>
      <w:r>
        <w:rPr/>
        <w:t xml:space="preserve">state appropriation for fiscal year 2016 and $1,117,000 of the general fund</w:t>
      </w:r>
      <w:r>
        <w:rPr>
          <w:rFonts w:ascii="Times New Roman" w:hAnsi="Times New Roman"/>
        </w:rPr>
        <w:t xml:space="preserve">—</w:t>
      </w:r>
      <w:r>
        <w:rPr/>
        <w:t xml:space="preserve">state appropriation for fiscal year 2017 are provided solely for the office of the superintendent of public instruction to adopt computer science learning standards developed by a nationally recognized computer science education organization and computer science grants to school districts. Of these amounts, $1,000,000 in fiscal year 2016 and $1,000,000 in fiscal year 2017 are provided solely for the computer science and education grant program to support the following three purposes: (a) Train and credential teachers in computer sciences; (b) provide and upgrade technology needed to learn computer science; and (c) for computer science frontiers grants, to introduce students to and engage them in computer science. The office of the superintendent of public instruction must use the adopted computer science learning standards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(41)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fund for distribution of grants provided in RCW 28A.300.410.</w:t>
      </w:r>
    </w:p>
    <w:p>
      <w:pPr>
        <w:spacing w:before="0" w:after="0" w:line="408" w:lineRule="exact"/>
        <w:ind w:left="0" w:right="0" w:firstLine="576"/>
        <w:jc w:val="left"/>
      </w:pPr>
      <w:r>
        <w:rPr/>
        <w:t xml:space="preserve">(42)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$6,194,093,000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$6,560,444,000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$495,730,000</w:t>
      </w:r>
    </w:p>
    <w:p>
      <w:pPr>
        <w:tabs>
          <w:tab w:val="right" w:leader="dot" w:pos="9936"/>
        </w:tabs>
        <w:ind w:left="0" w:right="0" w:firstLine="1440"/>
      </w:pPr>
      <w:r>
        <w:rPr/>
        <w:t xml:space="preserve">TOTAL APPROPRIATION</w:t>
      </w:r>
      <w:r>
        <w:tab/>
      </w:r>
      <w:r>
        <w:rPr/>
        <w:t xml:space="preserve">$13,250,267,000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this part V of this act is sufficient to provide each full-time equivalent student with the minimum hours of instruction required under RCW 28A.150.220.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which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 and (ii) of this subsection:</w:t>
      </w:r>
    </w:p>
    <w:p>
      <w:pPr>
        <w:spacing w:before="0" w:after="0" w:line="408" w:lineRule="exact"/>
        <w:ind w:left="0" w:right="0" w:firstLine="576"/>
        <w:jc w:val="left"/>
      </w:pPr>
      <w:r>
        <w:rPr/>
        <w:t xml:space="preserve">(A)</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The superintendent shall allocate funding for average class sizes for grades K-3 in (c)(i)(A) of this subsection only to the extent of, and proportional to, the school district's demonstrated actual average class size, up to the funded class sizes.</w:t>
      </w:r>
    </w:p>
    <w:p>
      <w:pPr>
        <w:spacing w:before="0" w:after="0" w:line="408" w:lineRule="exact"/>
        <w:ind w:left="0" w:right="0" w:firstLine="576"/>
        <w:jc w:val="left"/>
      </w:pPr>
      <w:r>
        <w:rPr/>
        <w:t xml:space="preserve">(C) The enhancement in (c)(i) of this subsection is within the program of basic education.</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12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The superintendent shall provide enhanced funding for class size reduction in grades K through 3 to the extent of, and proportionate to, the school's demonstrated actual average class size up to the funded high-poverty class size. The superintendent shall adopt rules requiring school districts to report full-time equivalent student enrollment to carry out this requirement and as provided in RCW 28A.655.210.</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0.94 percent in the 2015-16 school year and 0.94 percent in the 2016-17 school year for career and technical education students, and 17.34 percent in the 2015-16 school year and 17.33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120" w:after="0" w:line="408" w:lineRule="exact"/>
        <w:ind w:left="0" w:right="0" w:firstLine="576"/>
        <w:jc w:val="left"/>
      </w:pPr>
      <w:r>
        <w:rPr/>
        <w:t xml:space="preserve">(ii) School districts accepting enhanced MSOC funding above the rate provided in school year 2014-15 shall consider these funds as levy reduction funds and reduce their calendar year 2016 and 2017 levy base respectively used for calculating local levy authority and local effort assistance by the amount of the enhancement when calculating the school district's levy base under RCW 84.52.0531. School districts may continue to receive the school year 2014-15 MSOC rate so that the school district's levy base is not reduced.</w:t>
      </w:r>
    </w:p>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75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$621,000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March 24, 2015 at 06:11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24, 2015 at 06:11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180"/>
        <w:gridCol w:w="1100"/>
        <w:gridCol w:w="1120"/>
        <w:gridCol w:w="1080"/>
        <w:gridCol w:w="920"/>
        <w:gridCol w:w="920"/>
        <w:gridCol w:w="1040"/>
        <w:gridCol w:w="900"/>
        <w:gridCol w:w="920"/>
        <w:gridCol w:w="9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Years</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180" w:type="dxa"/>
            <w:vAlign w:val="top"/>
          </w:tcPr>
          <w:p>
            <w:pPr>
              <w:spacing w:before="0" w:after="0" w:line="408" w:lineRule="exact"/>
              <w:ind w:left="0" w:right="0" w:firstLine="0"/>
              <w:jc w:val="center"/>
            </w:pPr>
            <w:r>
              <w:rPr>
                <w:rFonts w:ascii="Times New Roman" w:hAnsi="Times New Roman"/>
                <w:sz w:val="20"/>
              </w:rPr>
              <w:t xml:space="preserve">of</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180" w:type="dxa"/>
            <w:vAlign w:val="top"/>
          </w:tcPr>
          <w:p>
            <w:pPr>
              <w:spacing w:before="0" w:after="0" w:line="408" w:lineRule="exact"/>
              <w:ind w:left="0" w:right="0" w:firstLine="0"/>
              <w:jc w:val="center"/>
            </w:pPr>
            <w:r>
              <w:rPr>
                <w:rFonts w:ascii="Times New Roman" w:hAnsi="Times New Roman"/>
                <w:sz w:val="20"/>
              </w:rPr>
              <w:t xml:space="preserve">Service</w:t>
            </w:r>
          </w:p>
        </w:tc>
        <w:tc>
          <w:tcPr>
            <w:tcW w:w="1100" w:type="dxa"/>
            <w:vAlign w:val="top"/>
          </w:tcPr>
          <w:p>
            <w:pPr>
              <w:spacing w:before="0" w:after="0" w:line="408" w:lineRule="exact"/>
              <w:ind w:left="0" w:right="0" w:firstLine="0"/>
              <w:jc w:val="center"/>
            </w:pPr>
            <w:r>
              <w:rPr>
                <w:rFonts w:ascii="Times New Roman" w:hAnsi="Times New Roman"/>
                <w:sz w:val="20"/>
              </w:rPr>
              <w:t xml:space="preserve"> BA </w:t>
            </w:r>
          </w:p>
        </w:tc>
        <w:tc>
          <w:tcPr>
            <w:tcW w:w="1120" w:type="dxa"/>
            <w:vAlign w:val="top"/>
          </w:tcPr>
          <w:p>
            <w:pPr>
              <w:spacing w:before="0" w:after="0" w:line="408" w:lineRule="exact"/>
              <w:ind w:left="0" w:right="0" w:firstLine="0"/>
              <w:jc w:val="center"/>
            </w:pPr>
            <w:r>
              <w:rPr>
                <w:rFonts w:ascii="Times New Roman" w:hAnsi="Times New Roman"/>
                <w:sz w:val="20"/>
              </w:rPr>
              <w:t xml:space="preserve">BA+15</w:t>
            </w:r>
          </w:p>
        </w:tc>
        <w:tc>
          <w:tcPr>
            <w:tcW w:w="1080" w:type="dxa"/>
            <w:vAlign w:val="top"/>
          </w:tcPr>
          <w:p>
            <w:pPr>
              <w:spacing w:before="0" w:after="0" w:line="408" w:lineRule="exact"/>
              <w:ind w:left="0" w:right="0" w:firstLine="0"/>
              <w:jc w:val="center"/>
            </w:pPr>
            <w:r>
              <w:rPr>
                <w:rFonts w:ascii="Times New Roman" w:hAnsi="Times New Roman"/>
                <w:sz w:val="20"/>
              </w:rPr>
              <w:t xml:space="preserve">BA+30</w:t>
            </w:r>
          </w:p>
        </w:tc>
        <w:tc>
          <w:tcPr>
            <w:tcW w:w="920" w:type="dxa"/>
            <w:vAlign w:val="top"/>
          </w:tcPr>
          <w:p>
            <w:pPr>
              <w:spacing w:before="0" w:after="0" w:line="408" w:lineRule="exact"/>
              <w:ind w:left="0" w:right="0" w:firstLine="0"/>
              <w:jc w:val="center"/>
            </w:pPr>
            <w:r>
              <w:rPr>
                <w:rFonts w:ascii="Times New Roman" w:hAnsi="Times New Roman"/>
                <w:sz w:val="20"/>
              </w:rPr>
              <w:t xml:space="preserve">BA+45</w:t>
            </w:r>
          </w:p>
        </w:tc>
        <w:tc>
          <w:tcPr>
            <w:tcW w:w="920" w:type="dxa"/>
            <w:vAlign w:val="top"/>
          </w:tcPr>
          <w:p>
            <w:pPr>
              <w:spacing w:before="0" w:after="0" w:line="408" w:lineRule="exact"/>
              <w:ind w:left="0" w:right="0" w:firstLine="0"/>
              <w:jc w:val="center"/>
            </w:pPr>
            <w:r>
              <w:rPr>
                <w:rFonts w:ascii="Times New Roman" w:hAnsi="Times New Roman"/>
                <w:sz w:val="20"/>
              </w:rPr>
              <w:t xml:space="preserve">BA+90</w:t>
            </w:r>
          </w:p>
        </w:tc>
        <w:tc>
          <w:tcPr>
            <w:tcW w:w="1040" w:type="dxa"/>
            <w:vAlign w:val="top"/>
          </w:tcPr>
          <w:p>
            <w:pPr>
              <w:spacing w:before="0" w:after="0" w:line="408" w:lineRule="exact"/>
              <w:ind w:left="0" w:right="0" w:firstLine="0"/>
              <w:jc w:val="center"/>
            </w:pPr>
            <w:r>
              <w:rPr>
                <w:rFonts w:ascii="Times New Roman" w:hAnsi="Times New Roman"/>
                <w:sz w:val="20"/>
              </w:rPr>
              <w:t xml:space="preserve">BA+135</w:t>
            </w:r>
          </w:p>
        </w:tc>
        <w:tc>
          <w:tcPr>
            <w:tcW w:w="900" w:type="dxa"/>
            <w:vAlign w:val="top"/>
          </w:tcPr>
          <w:p>
            <w:pPr>
              <w:spacing w:before="0" w:after="0" w:line="408" w:lineRule="exact"/>
              <w:ind w:left="0" w:right="0" w:firstLine="0"/>
              <w:jc w:val="center"/>
            </w:pPr>
            <w:r>
              <w:rPr>
                <w:rFonts w:ascii="Times New Roman" w:hAnsi="Times New Roman"/>
                <w:sz w:val="20"/>
              </w:rPr>
              <w:t xml:space="preserve"> MA </w:t>
            </w:r>
          </w:p>
        </w:tc>
        <w:tc>
          <w:tcPr>
            <w:tcW w:w="920" w:type="dxa"/>
            <w:vAlign w:val="top"/>
          </w:tcPr>
          <w:p>
            <w:pPr>
              <w:spacing w:before="0" w:after="0" w:line="408" w:lineRule="exact"/>
              <w:ind w:left="0" w:right="0" w:firstLine="0"/>
              <w:jc w:val="center"/>
            </w:pPr>
            <w:r>
              <w:rPr>
                <w:rFonts w:ascii="Times New Roman" w:hAnsi="Times New Roman"/>
                <w:sz w:val="20"/>
              </w:rPr>
              <w:t xml:space="preserve">MA+45</w:t>
            </w:r>
          </w:p>
        </w:tc>
        <w:tc>
          <w:tcPr>
            <w:tcW w:w="9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180" w:type="dxa"/>
            <w:vAlign w:val="top"/>
          </w:tcPr>
          <w:p>
            <w:pPr>
              <w:spacing w:before="0" w:after="0" w:line="408" w:lineRule="exact"/>
              <w:ind w:left="0" w:right="0" w:firstLine="0"/>
              <w:jc w:val="center"/>
            </w:pPr>
            <w:r>
              <w:rPr>
                <w:rFonts w:ascii="Times New Roman" w:hAnsi="Times New Roman"/>
                <w:sz w:val="20"/>
              </w:rPr>
              <w:t xml:space="preserve">0</w:t>
            </w:r>
          </w:p>
        </w:tc>
        <w:tc>
          <w:tcPr>
            <w:tcW w:w="1100" w:type="dxa"/>
            <w:vAlign w:val="top"/>
          </w:tcPr>
          <w:p>
            <w:pPr>
              <w:spacing w:before="0" w:after="0" w:line="408" w:lineRule="exact"/>
              <w:ind w:left="0" w:right="0" w:firstLine="0"/>
              <w:jc w:val="center"/>
            </w:pPr>
            <w:r>
              <w:rPr>
                <w:rFonts w:ascii="Times New Roman" w:hAnsi="Times New Roman"/>
                <w:sz w:val="20"/>
              </w:rPr>
              <w:t xml:space="preserve">34,457 </w:t>
            </w:r>
          </w:p>
        </w:tc>
        <w:tc>
          <w:tcPr>
            <w:tcW w:w="1120" w:type="dxa"/>
            <w:vAlign w:val="top"/>
          </w:tcPr>
          <w:p>
            <w:pPr>
              <w:spacing w:before="0" w:after="0" w:line="408" w:lineRule="exact"/>
              <w:ind w:left="0" w:right="0" w:firstLine="0"/>
              <w:jc w:val="center"/>
            </w:pPr>
            <w:r>
              <w:rPr>
                <w:rFonts w:ascii="Times New Roman" w:hAnsi="Times New Roman"/>
                <w:sz w:val="20"/>
              </w:rPr>
              <w:t xml:space="preserve">35,388 </w:t>
            </w:r>
          </w:p>
        </w:tc>
        <w:tc>
          <w:tcPr>
            <w:tcW w:w="1080" w:type="dxa"/>
            <w:vAlign w:val="top"/>
          </w:tcPr>
          <w:p>
            <w:pPr>
              <w:spacing w:before="0" w:after="0" w:line="408" w:lineRule="exact"/>
              <w:ind w:left="0" w:right="0" w:firstLine="0"/>
              <w:jc w:val="center"/>
            </w:pPr>
            <w:r>
              <w:rPr>
                <w:rFonts w:ascii="Times New Roman" w:hAnsi="Times New Roman"/>
                <w:sz w:val="20"/>
              </w:rPr>
              <w:t xml:space="preserve">36,352 </w:t>
            </w:r>
          </w:p>
        </w:tc>
        <w:tc>
          <w:tcPr>
            <w:tcW w:w="920" w:type="dxa"/>
            <w:vAlign w:val="top"/>
          </w:tcPr>
          <w:p>
            <w:pPr>
              <w:spacing w:before="0" w:after="0" w:line="408" w:lineRule="exact"/>
              <w:ind w:left="0" w:right="0" w:firstLine="0"/>
              <w:jc w:val="center"/>
            </w:pPr>
            <w:r>
              <w:rPr>
                <w:rFonts w:ascii="Times New Roman" w:hAnsi="Times New Roman"/>
                <w:sz w:val="20"/>
              </w:rPr>
              <w:t xml:space="preserve">37,318 </w:t>
            </w:r>
          </w:p>
        </w:tc>
        <w:tc>
          <w:tcPr>
            <w:tcW w:w="920" w:type="dxa"/>
            <w:vAlign w:val="top"/>
          </w:tcPr>
          <w:p>
            <w:pPr>
              <w:spacing w:before="0" w:after="0" w:line="408" w:lineRule="exact"/>
              <w:ind w:left="0" w:right="0" w:firstLine="0"/>
              <w:jc w:val="center"/>
            </w:pPr>
            <w:r>
              <w:rPr>
                <w:rFonts w:ascii="Times New Roman" w:hAnsi="Times New Roman"/>
                <w:sz w:val="20"/>
              </w:rPr>
              <w:t xml:space="preserve">40,419 </w:t>
            </w:r>
          </w:p>
        </w:tc>
        <w:tc>
          <w:tcPr>
            <w:tcW w:w="1040" w:type="dxa"/>
            <w:vAlign w:val="top"/>
          </w:tcPr>
          <w:p>
            <w:pPr>
              <w:spacing w:before="0" w:after="0" w:line="408" w:lineRule="exact"/>
              <w:ind w:left="0" w:right="0" w:firstLine="0"/>
              <w:jc w:val="center"/>
            </w:pPr>
            <w:r>
              <w:rPr>
                <w:rFonts w:ascii="Times New Roman" w:hAnsi="Times New Roman"/>
                <w:sz w:val="20"/>
              </w:rPr>
              <w:t xml:space="preserve">42,416 </w:t>
            </w:r>
          </w:p>
        </w:tc>
        <w:tc>
          <w:tcPr>
            <w:tcW w:w="900" w:type="dxa"/>
            <w:vAlign w:val="top"/>
          </w:tcPr>
          <w:p>
            <w:pPr>
              <w:spacing w:before="0" w:after="0" w:line="408" w:lineRule="exact"/>
              <w:ind w:left="0" w:right="0" w:firstLine="0"/>
              <w:jc w:val="center"/>
            </w:pPr>
            <w:r>
              <w:rPr>
                <w:rFonts w:ascii="Times New Roman" w:hAnsi="Times New Roman"/>
                <w:sz w:val="20"/>
              </w:rPr>
              <w:t xml:space="preserve">41,311 </w:t>
            </w:r>
          </w:p>
        </w:tc>
        <w:tc>
          <w:tcPr>
            <w:tcW w:w="920" w:type="dxa"/>
            <w:vAlign w:val="top"/>
          </w:tcPr>
          <w:p>
            <w:pPr>
              <w:spacing w:before="0" w:after="0" w:line="408" w:lineRule="exact"/>
              <w:ind w:left="0" w:right="0" w:firstLine="0"/>
              <w:jc w:val="center"/>
            </w:pPr>
            <w:r>
              <w:rPr>
                <w:rFonts w:ascii="Times New Roman" w:hAnsi="Times New Roman"/>
                <w:sz w:val="20"/>
              </w:rPr>
              <w:t xml:space="preserve">44,412 </w:t>
            </w:r>
          </w:p>
        </w:tc>
        <w:tc>
          <w:tcPr>
            <w:tcW w:w="980" w:type="dxa"/>
            <w:vAlign w:val="top"/>
          </w:tcPr>
          <w:p>
            <w:pPr>
              <w:spacing w:before="0" w:after="0" w:line="408" w:lineRule="exact"/>
              <w:ind w:left="0" w:right="0" w:firstLine="0"/>
              <w:jc w:val="center"/>
            </w:pPr>
            <w:r>
              <w:rPr>
                <w:rFonts w:ascii="Times New Roman" w:hAnsi="Times New Roman"/>
                <w:sz w:val="20"/>
              </w:rPr>
              <w:t xml:space="preserve">46,411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w:t>
            </w:r>
          </w:p>
        </w:tc>
        <w:tc>
          <w:tcPr>
            <w:tcW w:w="1100" w:type="dxa"/>
            <w:vAlign w:val="top"/>
          </w:tcPr>
          <w:p>
            <w:pPr>
              <w:spacing w:before="0" w:after="0" w:line="408" w:lineRule="exact"/>
              <w:ind w:left="0" w:right="0" w:firstLine="0"/>
              <w:jc w:val="center"/>
            </w:pPr>
            <w:r>
              <w:rPr>
                <w:rFonts w:ascii="Times New Roman" w:hAnsi="Times New Roman"/>
                <w:sz w:val="20"/>
              </w:rPr>
              <w:t xml:space="preserve">34,921 </w:t>
            </w:r>
          </w:p>
        </w:tc>
        <w:tc>
          <w:tcPr>
            <w:tcW w:w="1120" w:type="dxa"/>
            <w:vAlign w:val="top"/>
          </w:tcPr>
          <w:p>
            <w:pPr>
              <w:spacing w:before="0" w:after="0" w:line="408" w:lineRule="exact"/>
              <w:ind w:left="0" w:right="0" w:firstLine="0"/>
              <w:jc w:val="center"/>
            </w:pPr>
            <w:r>
              <w:rPr>
                <w:rFonts w:ascii="Times New Roman" w:hAnsi="Times New Roman"/>
                <w:sz w:val="20"/>
              </w:rPr>
              <w:t xml:space="preserve">35,864 </w:t>
            </w:r>
          </w:p>
        </w:tc>
        <w:tc>
          <w:tcPr>
            <w:tcW w:w="1080" w:type="dxa"/>
            <w:vAlign w:val="top"/>
          </w:tcPr>
          <w:p>
            <w:pPr>
              <w:spacing w:before="0" w:after="0" w:line="408" w:lineRule="exact"/>
              <w:ind w:left="0" w:right="0" w:firstLine="0"/>
              <w:jc w:val="center"/>
            </w:pPr>
            <w:r>
              <w:rPr>
                <w:rFonts w:ascii="Times New Roman" w:hAnsi="Times New Roman"/>
                <w:sz w:val="20"/>
              </w:rPr>
              <w:t xml:space="preserve">36,841 </w:t>
            </w:r>
          </w:p>
        </w:tc>
        <w:tc>
          <w:tcPr>
            <w:tcW w:w="920" w:type="dxa"/>
            <w:vAlign w:val="top"/>
          </w:tcPr>
          <w:p>
            <w:pPr>
              <w:spacing w:before="0" w:after="0" w:line="408" w:lineRule="exact"/>
              <w:ind w:left="0" w:right="0" w:firstLine="0"/>
              <w:jc w:val="center"/>
            </w:pPr>
            <w:r>
              <w:rPr>
                <w:rFonts w:ascii="Times New Roman" w:hAnsi="Times New Roman"/>
                <w:sz w:val="20"/>
              </w:rPr>
              <w:t xml:space="preserve">37,850 </w:t>
            </w:r>
          </w:p>
        </w:tc>
        <w:tc>
          <w:tcPr>
            <w:tcW w:w="920" w:type="dxa"/>
            <w:vAlign w:val="top"/>
          </w:tcPr>
          <w:p>
            <w:pPr>
              <w:spacing w:before="0" w:after="0" w:line="408" w:lineRule="exact"/>
              <w:ind w:left="0" w:right="0" w:firstLine="0"/>
              <w:jc w:val="center"/>
            </w:pPr>
            <w:r>
              <w:rPr>
                <w:rFonts w:ascii="Times New Roman" w:hAnsi="Times New Roman"/>
                <w:sz w:val="20"/>
              </w:rPr>
              <w:t xml:space="preserve">40,983 </w:t>
            </w:r>
          </w:p>
        </w:tc>
        <w:tc>
          <w:tcPr>
            <w:tcW w:w="1040" w:type="dxa"/>
            <w:vAlign w:val="top"/>
          </w:tcPr>
          <w:p>
            <w:pPr>
              <w:spacing w:before="0" w:after="0" w:line="408" w:lineRule="exact"/>
              <w:ind w:left="0" w:right="0" w:firstLine="0"/>
              <w:jc w:val="center"/>
            </w:pPr>
            <w:r>
              <w:rPr>
                <w:rFonts w:ascii="Times New Roman" w:hAnsi="Times New Roman"/>
                <w:sz w:val="20"/>
              </w:rPr>
              <w:t xml:space="preserve">42,969 </w:t>
            </w:r>
          </w:p>
        </w:tc>
        <w:tc>
          <w:tcPr>
            <w:tcW w:w="900" w:type="dxa"/>
            <w:vAlign w:val="top"/>
          </w:tcPr>
          <w:p>
            <w:pPr>
              <w:spacing w:before="0" w:after="0" w:line="408" w:lineRule="exact"/>
              <w:ind w:left="0" w:right="0" w:firstLine="0"/>
              <w:jc w:val="center"/>
            </w:pPr>
            <w:r>
              <w:rPr>
                <w:rFonts w:ascii="Times New Roman" w:hAnsi="Times New Roman"/>
                <w:sz w:val="20"/>
              </w:rPr>
              <w:t xml:space="preserve">41,770 </w:t>
            </w:r>
          </w:p>
        </w:tc>
        <w:tc>
          <w:tcPr>
            <w:tcW w:w="920" w:type="dxa"/>
            <w:vAlign w:val="top"/>
          </w:tcPr>
          <w:p>
            <w:pPr>
              <w:spacing w:before="0" w:after="0" w:line="408" w:lineRule="exact"/>
              <w:ind w:left="0" w:right="0" w:firstLine="0"/>
              <w:jc w:val="center"/>
            </w:pPr>
            <w:r>
              <w:rPr>
                <w:rFonts w:ascii="Times New Roman" w:hAnsi="Times New Roman"/>
                <w:sz w:val="20"/>
              </w:rPr>
              <w:t xml:space="preserve">44,903 </w:t>
            </w:r>
          </w:p>
        </w:tc>
        <w:tc>
          <w:tcPr>
            <w:tcW w:w="980" w:type="dxa"/>
            <w:vAlign w:val="top"/>
          </w:tcPr>
          <w:p>
            <w:pPr>
              <w:spacing w:before="0" w:after="0" w:line="408" w:lineRule="exact"/>
              <w:ind w:left="0" w:right="0" w:firstLine="0"/>
              <w:jc w:val="center"/>
            </w:pPr>
            <w:r>
              <w:rPr>
                <w:rFonts w:ascii="Times New Roman" w:hAnsi="Times New Roman"/>
                <w:sz w:val="20"/>
              </w:rPr>
              <w:t xml:space="preserve">46,889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2</w:t>
            </w:r>
          </w:p>
        </w:tc>
        <w:tc>
          <w:tcPr>
            <w:tcW w:w="1100" w:type="dxa"/>
            <w:vAlign w:val="top"/>
          </w:tcPr>
          <w:p>
            <w:pPr>
              <w:spacing w:before="0" w:after="0" w:line="408" w:lineRule="exact"/>
              <w:ind w:left="0" w:right="0" w:firstLine="0"/>
              <w:jc w:val="center"/>
            </w:pPr>
            <w:r>
              <w:rPr>
                <w:rFonts w:ascii="Times New Roman" w:hAnsi="Times New Roman"/>
                <w:sz w:val="20"/>
              </w:rPr>
              <w:t xml:space="preserve">35,363 </w:t>
            </w:r>
          </w:p>
        </w:tc>
        <w:tc>
          <w:tcPr>
            <w:tcW w:w="1120" w:type="dxa"/>
            <w:vAlign w:val="top"/>
          </w:tcPr>
          <w:p>
            <w:pPr>
              <w:spacing w:before="0" w:after="0" w:line="408" w:lineRule="exact"/>
              <w:ind w:left="0" w:right="0" w:firstLine="0"/>
              <w:jc w:val="center"/>
            </w:pPr>
            <w:r>
              <w:rPr>
                <w:rFonts w:ascii="Times New Roman" w:hAnsi="Times New Roman"/>
                <w:sz w:val="20"/>
              </w:rPr>
              <w:t xml:space="preserve">36,315 </w:t>
            </w:r>
          </w:p>
        </w:tc>
        <w:tc>
          <w:tcPr>
            <w:tcW w:w="1080" w:type="dxa"/>
            <w:vAlign w:val="top"/>
          </w:tcPr>
          <w:p>
            <w:pPr>
              <w:spacing w:before="0" w:after="0" w:line="408" w:lineRule="exact"/>
              <w:ind w:left="0" w:right="0" w:firstLine="0"/>
              <w:jc w:val="center"/>
            </w:pPr>
            <w:r>
              <w:rPr>
                <w:rFonts w:ascii="Times New Roman" w:hAnsi="Times New Roman"/>
                <w:sz w:val="20"/>
              </w:rPr>
              <w:t xml:space="preserve">37,302 </w:t>
            </w:r>
          </w:p>
        </w:tc>
        <w:tc>
          <w:tcPr>
            <w:tcW w:w="920" w:type="dxa"/>
            <w:vAlign w:val="top"/>
          </w:tcPr>
          <w:p>
            <w:pPr>
              <w:spacing w:before="0" w:after="0" w:line="408" w:lineRule="exact"/>
              <w:ind w:left="0" w:right="0" w:firstLine="0"/>
              <w:jc w:val="center"/>
            </w:pPr>
            <w:r>
              <w:rPr>
                <w:rFonts w:ascii="Times New Roman" w:hAnsi="Times New Roman"/>
                <w:sz w:val="20"/>
              </w:rPr>
              <w:t xml:space="preserve">38,389 </w:t>
            </w:r>
          </w:p>
        </w:tc>
        <w:tc>
          <w:tcPr>
            <w:tcW w:w="920" w:type="dxa"/>
            <w:vAlign w:val="top"/>
          </w:tcPr>
          <w:p>
            <w:pPr>
              <w:spacing w:before="0" w:after="0" w:line="408" w:lineRule="exact"/>
              <w:ind w:left="0" w:right="0" w:firstLine="0"/>
              <w:jc w:val="center"/>
            </w:pPr>
            <w:r>
              <w:rPr>
                <w:rFonts w:ascii="Times New Roman" w:hAnsi="Times New Roman"/>
                <w:sz w:val="20"/>
              </w:rPr>
              <w:t xml:space="preserve">41,513 </w:t>
            </w:r>
          </w:p>
        </w:tc>
        <w:tc>
          <w:tcPr>
            <w:tcW w:w="1040" w:type="dxa"/>
            <w:vAlign w:val="top"/>
          </w:tcPr>
          <w:p>
            <w:pPr>
              <w:spacing w:before="0" w:after="0" w:line="408" w:lineRule="exact"/>
              <w:ind w:left="0" w:right="0" w:firstLine="0"/>
              <w:jc w:val="center"/>
            </w:pPr>
            <w:r>
              <w:rPr>
                <w:rFonts w:ascii="Times New Roman" w:hAnsi="Times New Roman"/>
                <w:sz w:val="20"/>
              </w:rPr>
              <w:t xml:space="preserve">43,520 </w:t>
            </w:r>
          </w:p>
        </w:tc>
        <w:tc>
          <w:tcPr>
            <w:tcW w:w="900" w:type="dxa"/>
            <w:vAlign w:val="top"/>
          </w:tcPr>
          <w:p>
            <w:pPr>
              <w:spacing w:before="0" w:after="0" w:line="408" w:lineRule="exact"/>
              <w:ind w:left="0" w:right="0" w:firstLine="0"/>
              <w:jc w:val="center"/>
            </w:pPr>
            <w:r>
              <w:rPr>
                <w:rFonts w:ascii="Times New Roman" w:hAnsi="Times New Roman"/>
                <w:sz w:val="20"/>
              </w:rPr>
              <w:t xml:space="preserve">42,233 </w:t>
            </w:r>
          </w:p>
        </w:tc>
        <w:tc>
          <w:tcPr>
            <w:tcW w:w="920" w:type="dxa"/>
            <w:vAlign w:val="top"/>
          </w:tcPr>
          <w:p>
            <w:pPr>
              <w:spacing w:before="0" w:after="0" w:line="408" w:lineRule="exact"/>
              <w:ind w:left="0" w:right="0" w:firstLine="0"/>
              <w:jc w:val="center"/>
            </w:pPr>
            <w:r>
              <w:rPr>
                <w:rFonts w:ascii="Times New Roman" w:hAnsi="Times New Roman"/>
                <w:sz w:val="20"/>
              </w:rPr>
              <w:t xml:space="preserve">45,356 </w:t>
            </w:r>
          </w:p>
        </w:tc>
        <w:tc>
          <w:tcPr>
            <w:tcW w:w="980" w:type="dxa"/>
            <w:vAlign w:val="top"/>
          </w:tcPr>
          <w:p>
            <w:pPr>
              <w:spacing w:before="0" w:after="0" w:line="408" w:lineRule="exact"/>
              <w:ind w:left="0" w:right="0" w:firstLine="0"/>
              <w:jc w:val="center"/>
            </w:pPr>
            <w:r>
              <w:rPr>
                <w:rFonts w:ascii="Times New Roman" w:hAnsi="Times New Roman"/>
                <w:sz w:val="20"/>
              </w:rPr>
              <w:t xml:space="preserve">47,364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3</w:t>
            </w:r>
          </w:p>
        </w:tc>
        <w:tc>
          <w:tcPr>
            <w:tcW w:w="1100" w:type="dxa"/>
            <w:vAlign w:val="top"/>
          </w:tcPr>
          <w:p>
            <w:pPr>
              <w:spacing w:before="0" w:after="0" w:line="408" w:lineRule="exact"/>
              <w:ind w:left="0" w:right="0" w:firstLine="0"/>
              <w:jc w:val="center"/>
            </w:pPr>
            <w:r>
              <w:rPr>
                <w:rFonts w:ascii="Times New Roman" w:hAnsi="Times New Roman"/>
                <w:sz w:val="20"/>
              </w:rPr>
              <w:t xml:space="preserve">35,818 </w:t>
            </w:r>
          </w:p>
        </w:tc>
        <w:tc>
          <w:tcPr>
            <w:tcW w:w="1120" w:type="dxa"/>
            <w:vAlign w:val="top"/>
          </w:tcPr>
          <w:p>
            <w:pPr>
              <w:spacing w:before="0" w:after="0" w:line="408" w:lineRule="exact"/>
              <w:ind w:left="0" w:right="0" w:firstLine="0"/>
              <w:jc w:val="center"/>
            </w:pPr>
            <w:r>
              <w:rPr>
                <w:rFonts w:ascii="Times New Roman" w:hAnsi="Times New Roman"/>
                <w:sz w:val="20"/>
              </w:rPr>
              <w:t xml:space="preserve">36,780 </w:t>
            </w:r>
          </w:p>
        </w:tc>
        <w:tc>
          <w:tcPr>
            <w:tcW w:w="1080" w:type="dxa"/>
            <w:vAlign w:val="top"/>
          </w:tcPr>
          <w:p>
            <w:pPr>
              <w:spacing w:before="0" w:after="0" w:line="408" w:lineRule="exact"/>
              <w:ind w:left="0" w:right="0" w:firstLine="0"/>
              <w:jc w:val="center"/>
            </w:pPr>
            <w:r>
              <w:rPr>
                <w:rFonts w:ascii="Times New Roman" w:hAnsi="Times New Roman"/>
                <w:sz w:val="20"/>
              </w:rPr>
              <w:t xml:space="preserve">37,777 </w:t>
            </w:r>
          </w:p>
        </w:tc>
        <w:tc>
          <w:tcPr>
            <w:tcW w:w="920" w:type="dxa"/>
            <w:vAlign w:val="top"/>
          </w:tcPr>
          <w:p>
            <w:pPr>
              <w:spacing w:before="0" w:after="0" w:line="408" w:lineRule="exact"/>
              <w:ind w:left="0" w:right="0" w:firstLine="0"/>
              <w:jc w:val="center"/>
            </w:pPr>
            <w:r>
              <w:rPr>
                <w:rFonts w:ascii="Times New Roman" w:hAnsi="Times New Roman"/>
                <w:sz w:val="20"/>
              </w:rPr>
              <w:t xml:space="preserve">38,899 </w:t>
            </w:r>
          </w:p>
        </w:tc>
        <w:tc>
          <w:tcPr>
            <w:tcW w:w="920" w:type="dxa"/>
            <w:vAlign w:val="top"/>
          </w:tcPr>
          <w:p>
            <w:pPr>
              <w:spacing w:before="0" w:after="0" w:line="408" w:lineRule="exact"/>
              <w:ind w:left="0" w:right="0" w:firstLine="0"/>
              <w:jc w:val="center"/>
            </w:pPr>
            <w:r>
              <w:rPr>
                <w:rFonts w:ascii="Times New Roman" w:hAnsi="Times New Roman"/>
                <w:sz w:val="20"/>
              </w:rPr>
              <w:t xml:space="preserve">42,017 </w:t>
            </w:r>
          </w:p>
        </w:tc>
        <w:tc>
          <w:tcPr>
            <w:tcW w:w="1040" w:type="dxa"/>
            <w:vAlign w:val="top"/>
          </w:tcPr>
          <w:p>
            <w:pPr>
              <w:spacing w:before="0" w:after="0" w:line="408" w:lineRule="exact"/>
              <w:ind w:left="0" w:right="0" w:firstLine="0"/>
              <w:jc w:val="center"/>
            </w:pPr>
            <w:r>
              <w:rPr>
                <w:rFonts w:ascii="Times New Roman" w:hAnsi="Times New Roman"/>
                <w:sz w:val="20"/>
              </w:rPr>
              <w:t xml:space="preserve">44,072 </w:t>
            </w:r>
          </w:p>
        </w:tc>
        <w:tc>
          <w:tcPr>
            <w:tcW w:w="900" w:type="dxa"/>
            <w:vAlign w:val="top"/>
          </w:tcPr>
          <w:p>
            <w:pPr>
              <w:spacing w:before="0" w:after="0" w:line="408" w:lineRule="exact"/>
              <w:ind w:left="0" w:right="0" w:firstLine="0"/>
              <w:jc w:val="center"/>
            </w:pPr>
            <w:r>
              <w:rPr>
                <w:rFonts w:ascii="Times New Roman" w:hAnsi="Times New Roman"/>
                <w:sz w:val="20"/>
              </w:rPr>
              <w:t xml:space="preserve">42,671 </w:t>
            </w:r>
          </w:p>
        </w:tc>
        <w:tc>
          <w:tcPr>
            <w:tcW w:w="920" w:type="dxa"/>
            <w:vAlign w:val="top"/>
          </w:tcPr>
          <w:p>
            <w:pPr>
              <w:spacing w:before="0" w:after="0" w:line="408" w:lineRule="exact"/>
              <w:ind w:left="0" w:right="0" w:firstLine="0"/>
              <w:jc w:val="center"/>
            </w:pPr>
            <w:r>
              <w:rPr>
                <w:rFonts w:ascii="Times New Roman" w:hAnsi="Times New Roman"/>
                <w:sz w:val="20"/>
              </w:rPr>
              <w:t xml:space="preserve">45,787 </w:t>
            </w:r>
          </w:p>
        </w:tc>
        <w:tc>
          <w:tcPr>
            <w:tcW w:w="980" w:type="dxa"/>
            <w:vAlign w:val="top"/>
          </w:tcPr>
          <w:p>
            <w:pPr>
              <w:spacing w:before="0" w:after="0" w:line="408" w:lineRule="exact"/>
              <w:ind w:left="0" w:right="0" w:firstLine="0"/>
              <w:jc w:val="center"/>
            </w:pPr>
            <w:r>
              <w:rPr>
                <w:rFonts w:ascii="Times New Roman" w:hAnsi="Times New Roman"/>
                <w:sz w:val="20"/>
              </w:rPr>
              <w:t xml:space="preserve">47,844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4</w:t>
            </w:r>
          </w:p>
        </w:tc>
        <w:tc>
          <w:tcPr>
            <w:tcW w:w="1100" w:type="dxa"/>
            <w:vAlign w:val="top"/>
          </w:tcPr>
          <w:p>
            <w:pPr>
              <w:spacing w:before="0" w:after="0" w:line="408" w:lineRule="exact"/>
              <w:ind w:left="0" w:right="0" w:firstLine="0"/>
              <w:jc w:val="center"/>
            </w:pPr>
            <w:r>
              <w:rPr>
                <w:rFonts w:ascii="Times New Roman" w:hAnsi="Times New Roman"/>
                <w:sz w:val="20"/>
              </w:rPr>
              <w:t xml:space="preserve">36,265 </w:t>
            </w:r>
          </w:p>
        </w:tc>
        <w:tc>
          <w:tcPr>
            <w:tcW w:w="1120" w:type="dxa"/>
            <w:vAlign w:val="top"/>
          </w:tcPr>
          <w:p>
            <w:pPr>
              <w:spacing w:before="0" w:after="0" w:line="408" w:lineRule="exact"/>
              <w:ind w:left="0" w:right="0" w:firstLine="0"/>
              <w:jc w:val="center"/>
            </w:pPr>
            <w:r>
              <w:rPr>
                <w:rFonts w:ascii="Times New Roman" w:hAnsi="Times New Roman"/>
                <w:sz w:val="20"/>
              </w:rPr>
              <w:t xml:space="preserve">37,269 </w:t>
            </w:r>
          </w:p>
        </w:tc>
        <w:tc>
          <w:tcPr>
            <w:tcW w:w="1080" w:type="dxa"/>
            <w:vAlign w:val="top"/>
          </w:tcPr>
          <w:p>
            <w:pPr>
              <w:spacing w:before="0" w:after="0" w:line="408" w:lineRule="exact"/>
              <w:ind w:left="0" w:right="0" w:firstLine="0"/>
              <w:jc w:val="center"/>
            </w:pPr>
            <w:r>
              <w:rPr>
                <w:rFonts w:ascii="Times New Roman" w:hAnsi="Times New Roman"/>
                <w:sz w:val="20"/>
              </w:rPr>
              <w:t xml:space="preserve">38,272 </w:t>
            </w:r>
          </w:p>
        </w:tc>
        <w:tc>
          <w:tcPr>
            <w:tcW w:w="920" w:type="dxa"/>
            <w:vAlign w:val="top"/>
          </w:tcPr>
          <w:p>
            <w:pPr>
              <w:spacing w:before="0" w:after="0" w:line="408" w:lineRule="exact"/>
              <w:ind w:left="0" w:right="0" w:firstLine="0"/>
              <w:jc w:val="center"/>
            </w:pPr>
            <w:r>
              <w:rPr>
                <w:rFonts w:ascii="Times New Roman" w:hAnsi="Times New Roman"/>
                <w:sz w:val="20"/>
              </w:rPr>
              <w:t xml:space="preserve">39,432 </w:t>
            </w:r>
          </w:p>
        </w:tc>
        <w:tc>
          <w:tcPr>
            <w:tcW w:w="920" w:type="dxa"/>
            <w:vAlign w:val="top"/>
          </w:tcPr>
          <w:p>
            <w:pPr>
              <w:spacing w:before="0" w:after="0" w:line="408" w:lineRule="exact"/>
              <w:ind w:left="0" w:right="0" w:firstLine="0"/>
              <w:jc w:val="center"/>
            </w:pPr>
            <w:r>
              <w:rPr>
                <w:rFonts w:ascii="Times New Roman" w:hAnsi="Times New Roman"/>
                <w:sz w:val="20"/>
              </w:rPr>
              <w:t xml:space="preserve">42,569 </w:t>
            </w:r>
          </w:p>
        </w:tc>
        <w:tc>
          <w:tcPr>
            <w:tcW w:w="1040" w:type="dxa"/>
            <w:vAlign w:val="top"/>
          </w:tcPr>
          <w:p>
            <w:pPr>
              <w:spacing w:before="0" w:after="0" w:line="408" w:lineRule="exact"/>
              <w:ind w:left="0" w:right="0" w:firstLine="0"/>
              <w:jc w:val="center"/>
            </w:pPr>
            <w:r>
              <w:rPr>
                <w:rFonts w:ascii="Times New Roman" w:hAnsi="Times New Roman"/>
                <w:sz w:val="20"/>
              </w:rPr>
              <w:t xml:space="preserve">44,639 </w:t>
            </w:r>
          </w:p>
        </w:tc>
        <w:tc>
          <w:tcPr>
            <w:tcW w:w="900" w:type="dxa"/>
            <w:vAlign w:val="top"/>
          </w:tcPr>
          <w:p>
            <w:pPr>
              <w:spacing w:before="0" w:after="0" w:line="408" w:lineRule="exact"/>
              <w:ind w:left="0" w:right="0" w:firstLine="0"/>
              <w:jc w:val="center"/>
            </w:pPr>
            <w:r>
              <w:rPr>
                <w:rFonts w:ascii="Times New Roman" w:hAnsi="Times New Roman"/>
                <w:sz w:val="20"/>
              </w:rPr>
              <w:t xml:space="preserve">43,130 </w:t>
            </w:r>
          </w:p>
        </w:tc>
        <w:tc>
          <w:tcPr>
            <w:tcW w:w="920" w:type="dxa"/>
            <w:vAlign w:val="top"/>
          </w:tcPr>
          <w:p>
            <w:pPr>
              <w:spacing w:before="0" w:after="0" w:line="408" w:lineRule="exact"/>
              <w:ind w:left="0" w:right="0" w:firstLine="0"/>
              <w:jc w:val="center"/>
            </w:pPr>
            <w:r>
              <w:rPr>
                <w:rFonts w:ascii="Times New Roman" w:hAnsi="Times New Roman"/>
                <w:sz w:val="20"/>
              </w:rPr>
              <w:t xml:space="preserve">46,267 </w:t>
            </w:r>
          </w:p>
        </w:tc>
        <w:tc>
          <w:tcPr>
            <w:tcW w:w="980" w:type="dxa"/>
            <w:vAlign w:val="top"/>
          </w:tcPr>
          <w:p>
            <w:pPr>
              <w:spacing w:before="0" w:after="0" w:line="408" w:lineRule="exact"/>
              <w:ind w:left="0" w:right="0" w:firstLine="0"/>
              <w:jc w:val="center"/>
            </w:pPr>
            <w:r>
              <w:rPr>
                <w:rFonts w:ascii="Times New Roman" w:hAnsi="Times New Roman"/>
                <w:sz w:val="20"/>
              </w:rPr>
              <w:t xml:space="preserve">48,338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5</w:t>
            </w:r>
          </w:p>
        </w:tc>
        <w:tc>
          <w:tcPr>
            <w:tcW w:w="1100" w:type="dxa"/>
            <w:vAlign w:val="top"/>
          </w:tcPr>
          <w:p>
            <w:pPr>
              <w:spacing w:before="0" w:after="0" w:line="408" w:lineRule="exact"/>
              <w:ind w:left="0" w:right="0" w:firstLine="0"/>
              <w:jc w:val="center"/>
            </w:pPr>
            <w:r>
              <w:rPr>
                <w:rFonts w:ascii="Times New Roman" w:hAnsi="Times New Roman"/>
                <w:sz w:val="20"/>
              </w:rPr>
              <w:t xml:space="preserve">36,726 </w:t>
            </w:r>
          </w:p>
        </w:tc>
        <w:tc>
          <w:tcPr>
            <w:tcW w:w="1120" w:type="dxa"/>
            <w:vAlign w:val="top"/>
          </w:tcPr>
          <w:p>
            <w:pPr>
              <w:spacing w:before="0" w:after="0" w:line="408" w:lineRule="exact"/>
              <w:ind w:left="0" w:right="0" w:firstLine="0"/>
              <w:jc w:val="center"/>
            </w:pPr>
            <w:r>
              <w:rPr>
                <w:rFonts w:ascii="Times New Roman" w:hAnsi="Times New Roman"/>
                <w:sz w:val="20"/>
              </w:rPr>
              <w:t xml:space="preserve">37,735 </w:t>
            </w:r>
          </w:p>
        </w:tc>
        <w:tc>
          <w:tcPr>
            <w:tcW w:w="1080" w:type="dxa"/>
            <w:vAlign w:val="top"/>
          </w:tcPr>
          <w:p>
            <w:pPr>
              <w:spacing w:before="0" w:after="0" w:line="408" w:lineRule="exact"/>
              <w:ind w:left="0" w:right="0" w:firstLine="0"/>
              <w:jc w:val="center"/>
            </w:pPr>
            <w:r>
              <w:rPr>
                <w:rFonts w:ascii="Times New Roman" w:hAnsi="Times New Roman"/>
                <w:sz w:val="20"/>
              </w:rPr>
              <w:t xml:space="preserve">38,748 </w:t>
            </w:r>
          </w:p>
        </w:tc>
        <w:tc>
          <w:tcPr>
            <w:tcW w:w="920" w:type="dxa"/>
            <w:vAlign w:val="top"/>
          </w:tcPr>
          <w:p>
            <w:pPr>
              <w:spacing w:before="0" w:after="0" w:line="408" w:lineRule="exact"/>
              <w:ind w:left="0" w:right="0" w:firstLine="0"/>
              <w:jc w:val="center"/>
            </w:pPr>
            <w:r>
              <w:rPr>
                <w:rFonts w:ascii="Times New Roman" w:hAnsi="Times New Roman"/>
                <w:sz w:val="20"/>
              </w:rPr>
              <w:t xml:space="preserve">39,973 </w:t>
            </w:r>
          </w:p>
        </w:tc>
        <w:tc>
          <w:tcPr>
            <w:tcW w:w="920" w:type="dxa"/>
            <w:vAlign w:val="top"/>
          </w:tcPr>
          <w:p>
            <w:pPr>
              <w:spacing w:before="0" w:after="0" w:line="408" w:lineRule="exact"/>
              <w:ind w:left="0" w:right="0" w:firstLine="0"/>
              <w:jc w:val="center"/>
            </w:pPr>
            <w:r>
              <w:rPr>
                <w:rFonts w:ascii="Times New Roman" w:hAnsi="Times New Roman"/>
                <w:sz w:val="20"/>
              </w:rPr>
              <w:t xml:space="preserve">43,098 </w:t>
            </w:r>
          </w:p>
        </w:tc>
        <w:tc>
          <w:tcPr>
            <w:tcW w:w="1040" w:type="dxa"/>
            <w:vAlign w:val="top"/>
          </w:tcPr>
          <w:p>
            <w:pPr>
              <w:spacing w:before="0" w:after="0" w:line="408" w:lineRule="exact"/>
              <w:ind w:left="0" w:right="0" w:firstLine="0"/>
              <w:jc w:val="center"/>
            </w:pPr>
            <w:r>
              <w:rPr>
                <w:rFonts w:ascii="Times New Roman" w:hAnsi="Times New Roman"/>
                <w:sz w:val="20"/>
              </w:rPr>
              <w:t xml:space="preserve">45,210 </w:t>
            </w:r>
          </w:p>
        </w:tc>
        <w:tc>
          <w:tcPr>
            <w:tcW w:w="900" w:type="dxa"/>
            <w:vAlign w:val="top"/>
          </w:tcPr>
          <w:p>
            <w:pPr>
              <w:spacing w:before="0" w:after="0" w:line="408" w:lineRule="exact"/>
              <w:ind w:left="0" w:right="0" w:firstLine="0"/>
              <w:jc w:val="center"/>
            </w:pPr>
            <w:r>
              <w:rPr>
                <w:rFonts w:ascii="Times New Roman" w:hAnsi="Times New Roman"/>
                <w:sz w:val="20"/>
              </w:rPr>
              <w:t xml:space="preserve">43,597 </w:t>
            </w:r>
          </w:p>
        </w:tc>
        <w:tc>
          <w:tcPr>
            <w:tcW w:w="920" w:type="dxa"/>
            <w:vAlign w:val="top"/>
          </w:tcPr>
          <w:p>
            <w:pPr>
              <w:spacing w:before="0" w:after="0" w:line="408" w:lineRule="exact"/>
              <w:ind w:left="0" w:right="0" w:firstLine="0"/>
              <w:jc w:val="center"/>
            </w:pPr>
            <w:r>
              <w:rPr>
                <w:rFonts w:ascii="Times New Roman" w:hAnsi="Times New Roman"/>
                <w:sz w:val="20"/>
              </w:rPr>
              <w:t xml:space="preserve">46,723 </w:t>
            </w:r>
          </w:p>
        </w:tc>
        <w:tc>
          <w:tcPr>
            <w:tcW w:w="980" w:type="dxa"/>
            <w:vAlign w:val="top"/>
          </w:tcPr>
          <w:p>
            <w:pPr>
              <w:spacing w:before="0" w:after="0" w:line="408" w:lineRule="exact"/>
              <w:ind w:left="0" w:right="0" w:firstLine="0"/>
              <w:jc w:val="center"/>
            </w:pPr>
            <w:r>
              <w:rPr>
                <w:rFonts w:ascii="Times New Roman" w:hAnsi="Times New Roman"/>
                <w:sz w:val="20"/>
              </w:rPr>
              <w:t xml:space="preserve">48,835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6</w:t>
            </w:r>
          </w:p>
        </w:tc>
        <w:tc>
          <w:tcPr>
            <w:tcW w:w="1100" w:type="dxa"/>
            <w:vAlign w:val="top"/>
          </w:tcPr>
          <w:p>
            <w:pPr>
              <w:spacing w:before="0" w:after="0" w:line="408" w:lineRule="exact"/>
              <w:ind w:left="0" w:right="0" w:firstLine="0"/>
              <w:jc w:val="center"/>
            </w:pPr>
            <w:r>
              <w:rPr>
                <w:rFonts w:ascii="Times New Roman" w:hAnsi="Times New Roman"/>
                <w:sz w:val="20"/>
              </w:rPr>
              <w:t xml:space="preserve">37,200 </w:t>
            </w:r>
          </w:p>
        </w:tc>
        <w:tc>
          <w:tcPr>
            <w:tcW w:w="1120" w:type="dxa"/>
            <w:vAlign w:val="top"/>
          </w:tcPr>
          <w:p>
            <w:pPr>
              <w:spacing w:before="0" w:after="0" w:line="408" w:lineRule="exact"/>
              <w:ind w:left="0" w:right="0" w:firstLine="0"/>
              <w:jc w:val="center"/>
            </w:pPr>
            <w:r>
              <w:rPr>
                <w:rFonts w:ascii="Times New Roman" w:hAnsi="Times New Roman"/>
                <w:sz w:val="20"/>
              </w:rPr>
              <w:t xml:space="preserve">38,187 </w:t>
            </w:r>
          </w:p>
        </w:tc>
        <w:tc>
          <w:tcPr>
            <w:tcW w:w="1080" w:type="dxa"/>
            <w:vAlign w:val="top"/>
          </w:tcPr>
          <w:p>
            <w:pPr>
              <w:spacing w:before="0" w:after="0" w:line="408" w:lineRule="exact"/>
              <w:ind w:left="0" w:right="0" w:firstLine="0"/>
              <w:jc w:val="center"/>
            </w:pPr>
            <w:r>
              <w:rPr>
                <w:rFonts w:ascii="Times New Roman" w:hAnsi="Times New Roman"/>
                <w:sz w:val="20"/>
              </w:rPr>
              <w:t xml:space="preserve">39,235 </w:t>
            </w:r>
          </w:p>
        </w:tc>
        <w:tc>
          <w:tcPr>
            <w:tcW w:w="920" w:type="dxa"/>
            <w:vAlign w:val="top"/>
          </w:tcPr>
          <w:p>
            <w:pPr>
              <w:spacing w:before="0" w:after="0" w:line="408" w:lineRule="exact"/>
              <w:ind w:left="0" w:right="0" w:firstLine="0"/>
              <w:jc w:val="center"/>
            </w:pPr>
            <w:r>
              <w:rPr>
                <w:rFonts w:ascii="Times New Roman" w:hAnsi="Times New Roman"/>
                <w:sz w:val="20"/>
              </w:rPr>
              <w:t xml:space="preserve">40,520 </w:t>
            </w:r>
          </w:p>
        </w:tc>
        <w:tc>
          <w:tcPr>
            <w:tcW w:w="920" w:type="dxa"/>
            <w:vAlign w:val="top"/>
          </w:tcPr>
          <w:p>
            <w:pPr>
              <w:spacing w:before="0" w:after="0" w:line="408" w:lineRule="exact"/>
              <w:ind w:left="0" w:right="0" w:firstLine="0"/>
              <w:jc w:val="center"/>
            </w:pPr>
            <w:r>
              <w:rPr>
                <w:rFonts w:ascii="Times New Roman" w:hAnsi="Times New Roman"/>
                <w:sz w:val="20"/>
              </w:rPr>
              <w:t xml:space="preserve">43,630 </w:t>
            </w:r>
          </w:p>
        </w:tc>
        <w:tc>
          <w:tcPr>
            <w:tcW w:w="1040" w:type="dxa"/>
            <w:vAlign w:val="top"/>
          </w:tcPr>
          <w:p>
            <w:pPr>
              <w:spacing w:before="0" w:after="0" w:line="408" w:lineRule="exact"/>
              <w:ind w:left="0" w:right="0" w:firstLine="0"/>
              <w:jc w:val="center"/>
            </w:pPr>
            <w:r>
              <w:rPr>
                <w:rFonts w:ascii="Times New Roman" w:hAnsi="Times New Roman"/>
                <w:sz w:val="20"/>
              </w:rPr>
              <w:t xml:space="preserve">45,754 </w:t>
            </w:r>
          </w:p>
        </w:tc>
        <w:tc>
          <w:tcPr>
            <w:tcW w:w="900" w:type="dxa"/>
            <w:vAlign w:val="top"/>
          </w:tcPr>
          <w:p>
            <w:pPr>
              <w:spacing w:before="0" w:after="0" w:line="408" w:lineRule="exact"/>
              <w:ind w:left="0" w:right="0" w:firstLine="0"/>
              <w:jc w:val="center"/>
            </w:pPr>
            <w:r>
              <w:rPr>
                <w:rFonts w:ascii="Times New Roman" w:hAnsi="Times New Roman"/>
                <w:sz w:val="20"/>
              </w:rPr>
              <w:t xml:space="preserve">44,076 </w:t>
            </w:r>
          </w:p>
        </w:tc>
        <w:tc>
          <w:tcPr>
            <w:tcW w:w="920" w:type="dxa"/>
            <w:vAlign w:val="top"/>
          </w:tcPr>
          <w:p>
            <w:pPr>
              <w:spacing w:before="0" w:after="0" w:line="408" w:lineRule="exact"/>
              <w:ind w:left="0" w:right="0" w:firstLine="0"/>
              <w:jc w:val="center"/>
            </w:pPr>
            <w:r>
              <w:rPr>
                <w:rFonts w:ascii="Times New Roman" w:hAnsi="Times New Roman"/>
                <w:sz w:val="20"/>
              </w:rPr>
              <w:t xml:space="preserve">47,186 </w:t>
            </w:r>
          </w:p>
        </w:tc>
        <w:tc>
          <w:tcPr>
            <w:tcW w:w="980" w:type="dxa"/>
            <w:vAlign w:val="top"/>
          </w:tcPr>
          <w:p>
            <w:pPr>
              <w:spacing w:before="0" w:after="0" w:line="408" w:lineRule="exact"/>
              <w:ind w:left="0" w:right="0" w:firstLine="0"/>
              <w:jc w:val="center"/>
            </w:pPr>
            <w:r>
              <w:rPr>
                <w:rFonts w:ascii="Times New Roman" w:hAnsi="Times New Roman"/>
                <w:sz w:val="20"/>
              </w:rPr>
              <w:t xml:space="preserve">49,308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7</w:t>
            </w:r>
          </w:p>
        </w:tc>
        <w:tc>
          <w:tcPr>
            <w:tcW w:w="1100" w:type="dxa"/>
            <w:vAlign w:val="top"/>
          </w:tcPr>
          <w:p>
            <w:pPr>
              <w:spacing w:before="0" w:after="0" w:line="408" w:lineRule="exact"/>
              <w:ind w:left="0" w:right="0" w:firstLine="0"/>
              <w:jc w:val="center"/>
            </w:pPr>
            <w:r>
              <w:rPr>
                <w:rFonts w:ascii="Times New Roman" w:hAnsi="Times New Roman"/>
                <w:sz w:val="20"/>
              </w:rPr>
              <w:t xml:space="preserve">38,033 </w:t>
            </w:r>
          </w:p>
        </w:tc>
        <w:tc>
          <w:tcPr>
            <w:tcW w:w="1120" w:type="dxa"/>
            <w:vAlign w:val="top"/>
          </w:tcPr>
          <w:p>
            <w:pPr>
              <w:spacing w:before="0" w:after="0" w:line="408" w:lineRule="exact"/>
              <w:ind w:left="0" w:right="0" w:firstLine="0"/>
              <w:jc w:val="center"/>
            </w:pPr>
            <w:r>
              <w:rPr>
                <w:rFonts w:ascii="Times New Roman" w:hAnsi="Times New Roman"/>
                <w:sz w:val="20"/>
              </w:rPr>
              <w:t xml:space="preserve">39,035 </w:t>
            </w:r>
          </w:p>
        </w:tc>
        <w:tc>
          <w:tcPr>
            <w:tcW w:w="1080" w:type="dxa"/>
            <w:vAlign w:val="top"/>
          </w:tcPr>
          <w:p>
            <w:pPr>
              <w:spacing w:before="0" w:after="0" w:line="408" w:lineRule="exact"/>
              <w:ind w:left="0" w:right="0" w:firstLine="0"/>
              <w:jc w:val="center"/>
            </w:pPr>
            <w:r>
              <w:rPr>
                <w:rFonts w:ascii="Times New Roman" w:hAnsi="Times New Roman"/>
                <w:sz w:val="20"/>
              </w:rPr>
              <w:t xml:space="preserve">40,097 </w:t>
            </w:r>
          </w:p>
        </w:tc>
        <w:tc>
          <w:tcPr>
            <w:tcW w:w="920" w:type="dxa"/>
            <w:vAlign w:val="top"/>
          </w:tcPr>
          <w:p>
            <w:pPr>
              <w:spacing w:before="0" w:after="0" w:line="408" w:lineRule="exact"/>
              <w:ind w:left="0" w:right="0" w:firstLine="0"/>
              <w:jc w:val="center"/>
            </w:pPr>
            <w:r>
              <w:rPr>
                <w:rFonts w:ascii="Times New Roman" w:hAnsi="Times New Roman"/>
                <w:sz w:val="20"/>
              </w:rPr>
              <w:t xml:space="preserve">41,452 </w:t>
            </w:r>
          </w:p>
        </w:tc>
        <w:tc>
          <w:tcPr>
            <w:tcW w:w="920" w:type="dxa"/>
            <w:vAlign w:val="top"/>
          </w:tcPr>
          <w:p>
            <w:pPr>
              <w:spacing w:before="0" w:after="0" w:line="408" w:lineRule="exact"/>
              <w:ind w:left="0" w:right="0" w:firstLine="0"/>
              <w:jc w:val="center"/>
            </w:pPr>
            <w:r>
              <w:rPr>
                <w:rFonts w:ascii="Times New Roman" w:hAnsi="Times New Roman"/>
                <w:sz w:val="20"/>
              </w:rPr>
              <w:t xml:space="preserve">44,608 </w:t>
            </w:r>
          </w:p>
        </w:tc>
        <w:tc>
          <w:tcPr>
            <w:tcW w:w="1040" w:type="dxa"/>
            <w:vAlign w:val="top"/>
          </w:tcPr>
          <w:p>
            <w:pPr>
              <w:spacing w:before="0" w:after="0" w:line="408" w:lineRule="exact"/>
              <w:ind w:left="0" w:right="0" w:firstLine="0"/>
              <w:jc w:val="center"/>
            </w:pPr>
            <w:r>
              <w:rPr>
                <w:rFonts w:ascii="Times New Roman" w:hAnsi="Times New Roman"/>
                <w:sz w:val="20"/>
              </w:rPr>
              <w:t xml:space="preserve">46,790 </w:t>
            </w:r>
          </w:p>
        </w:tc>
        <w:tc>
          <w:tcPr>
            <w:tcW w:w="900" w:type="dxa"/>
            <w:vAlign w:val="top"/>
          </w:tcPr>
          <w:p>
            <w:pPr>
              <w:spacing w:before="0" w:after="0" w:line="408" w:lineRule="exact"/>
              <w:ind w:left="0" w:right="0" w:firstLine="0"/>
              <w:jc w:val="center"/>
            </w:pPr>
            <w:r>
              <w:rPr>
                <w:rFonts w:ascii="Times New Roman" w:hAnsi="Times New Roman"/>
                <w:sz w:val="20"/>
              </w:rPr>
              <w:t xml:space="preserve">44,972 </w:t>
            </w:r>
          </w:p>
        </w:tc>
        <w:tc>
          <w:tcPr>
            <w:tcW w:w="920" w:type="dxa"/>
            <w:vAlign w:val="top"/>
          </w:tcPr>
          <w:p>
            <w:pPr>
              <w:spacing w:before="0" w:after="0" w:line="408" w:lineRule="exact"/>
              <w:ind w:left="0" w:right="0" w:firstLine="0"/>
              <w:jc w:val="center"/>
            </w:pPr>
            <w:r>
              <w:rPr>
                <w:rFonts w:ascii="Times New Roman" w:hAnsi="Times New Roman"/>
                <w:sz w:val="20"/>
              </w:rPr>
              <w:t xml:space="preserve">48,127 </w:t>
            </w:r>
          </w:p>
        </w:tc>
        <w:tc>
          <w:tcPr>
            <w:tcW w:w="980" w:type="dxa"/>
            <w:vAlign w:val="top"/>
          </w:tcPr>
          <w:p>
            <w:pPr>
              <w:spacing w:before="0" w:after="0" w:line="408" w:lineRule="exact"/>
              <w:ind w:left="0" w:right="0" w:firstLine="0"/>
              <w:jc w:val="center"/>
            </w:pPr>
            <w:r>
              <w:rPr>
                <w:rFonts w:ascii="Times New Roman" w:hAnsi="Times New Roman"/>
                <w:sz w:val="20"/>
              </w:rPr>
              <w:t xml:space="preserve">50,310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8</w:t>
            </w:r>
          </w:p>
        </w:tc>
        <w:tc>
          <w:tcPr>
            <w:tcW w:w="1100" w:type="dxa"/>
            <w:vAlign w:val="top"/>
          </w:tcPr>
          <w:p>
            <w:pPr>
              <w:spacing w:before="0" w:after="0" w:line="408" w:lineRule="exact"/>
              <w:ind w:left="0" w:right="0" w:firstLine="0"/>
              <w:jc w:val="center"/>
            </w:pPr>
            <w:r>
              <w:rPr>
                <w:rFonts w:ascii="Times New Roman" w:hAnsi="Times New Roman"/>
                <w:sz w:val="20"/>
              </w:rPr>
              <w:t xml:space="preserve">39,253 </w:t>
            </w:r>
          </w:p>
        </w:tc>
        <w:tc>
          <w:tcPr>
            <w:tcW w:w="1120" w:type="dxa"/>
            <w:vAlign w:val="top"/>
          </w:tcPr>
          <w:p>
            <w:pPr>
              <w:spacing w:before="0" w:after="0" w:line="408" w:lineRule="exact"/>
              <w:ind w:left="0" w:right="0" w:firstLine="0"/>
              <w:jc w:val="center"/>
            </w:pPr>
            <w:r>
              <w:rPr>
                <w:rFonts w:ascii="Times New Roman" w:hAnsi="Times New Roman"/>
                <w:sz w:val="20"/>
              </w:rPr>
              <w:t xml:space="preserve">40,309 </w:t>
            </w:r>
          </w:p>
        </w:tc>
        <w:tc>
          <w:tcPr>
            <w:tcW w:w="1080" w:type="dxa"/>
            <w:vAlign w:val="top"/>
          </w:tcPr>
          <w:p>
            <w:pPr>
              <w:spacing w:before="0" w:after="0" w:line="408" w:lineRule="exact"/>
              <w:ind w:left="0" w:right="0" w:firstLine="0"/>
              <w:jc w:val="center"/>
            </w:pPr>
            <w:r>
              <w:rPr>
                <w:rFonts w:ascii="Times New Roman" w:hAnsi="Times New Roman"/>
                <w:sz w:val="20"/>
              </w:rPr>
              <w:t xml:space="preserve">41,396 </w:t>
            </w:r>
          </w:p>
        </w:tc>
        <w:tc>
          <w:tcPr>
            <w:tcW w:w="920" w:type="dxa"/>
            <w:vAlign w:val="top"/>
          </w:tcPr>
          <w:p>
            <w:pPr>
              <w:spacing w:before="0" w:after="0" w:line="408" w:lineRule="exact"/>
              <w:ind w:left="0" w:right="0" w:firstLine="0"/>
              <w:jc w:val="center"/>
            </w:pPr>
            <w:r>
              <w:rPr>
                <w:rFonts w:ascii="Times New Roman" w:hAnsi="Times New Roman"/>
                <w:sz w:val="20"/>
              </w:rPr>
              <w:t xml:space="preserve">42,864 </w:t>
            </w:r>
          </w:p>
        </w:tc>
        <w:tc>
          <w:tcPr>
            <w:tcW w:w="920" w:type="dxa"/>
            <w:vAlign w:val="top"/>
          </w:tcPr>
          <w:p>
            <w:pPr>
              <w:spacing w:before="0" w:after="0" w:line="408" w:lineRule="exact"/>
              <w:ind w:left="0" w:right="0" w:firstLine="0"/>
              <w:jc w:val="center"/>
            </w:pPr>
            <w:r>
              <w:rPr>
                <w:rFonts w:ascii="Times New Roman" w:hAnsi="Times New Roman"/>
                <w:sz w:val="20"/>
              </w:rPr>
              <w:t xml:space="preserve">46,062 </w:t>
            </w:r>
          </w:p>
        </w:tc>
        <w:tc>
          <w:tcPr>
            <w:tcW w:w="1040" w:type="dxa"/>
            <w:vAlign w:val="top"/>
          </w:tcPr>
          <w:p>
            <w:pPr>
              <w:spacing w:before="0" w:after="0" w:line="408" w:lineRule="exact"/>
              <w:ind w:left="0" w:right="0" w:firstLine="0"/>
              <w:jc w:val="center"/>
            </w:pPr>
            <w:r>
              <w:rPr>
                <w:rFonts w:ascii="Times New Roman" w:hAnsi="Times New Roman"/>
                <w:sz w:val="20"/>
              </w:rPr>
              <w:t xml:space="preserve">48,325 </w:t>
            </w:r>
          </w:p>
        </w:tc>
        <w:tc>
          <w:tcPr>
            <w:tcW w:w="900" w:type="dxa"/>
            <w:vAlign w:val="top"/>
          </w:tcPr>
          <w:p>
            <w:pPr>
              <w:spacing w:before="0" w:after="0" w:line="408" w:lineRule="exact"/>
              <w:ind w:left="0" w:right="0" w:firstLine="0"/>
              <w:jc w:val="center"/>
            </w:pPr>
            <w:r>
              <w:rPr>
                <w:rFonts w:ascii="Times New Roman" w:hAnsi="Times New Roman"/>
                <w:sz w:val="20"/>
              </w:rPr>
              <w:t xml:space="preserve">46,383 </w:t>
            </w:r>
          </w:p>
        </w:tc>
        <w:tc>
          <w:tcPr>
            <w:tcW w:w="920" w:type="dxa"/>
            <w:vAlign w:val="top"/>
          </w:tcPr>
          <w:p>
            <w:pPr>
              <w:spacing w:before="0" w:after="0" w:line="408" w:lineRule="exact"/>
              <w:ind w:left="0" w:right="0" w:firstLine="0"/>
              <w:jc w:val="center"/>
            </w:pPr>
            <w:r>
              <w:rPr>
                <w:rFonts w:ascii="Times New Roman" w:hAnsi="Times New Roman"/>
                <w:sz w:val="20"/>
              </w:rPr>
              <w:t xml:space="preserve">49,582 </w:t>
            </w:r>
          </w:p>
        </w:tc>
        <w:tc>
          <w:tcPr>
            <w:tcW w:w="980" w:type="dxa"/>
            <w:vAlign w:val="top"/>
          </w:tcPr>
          <w:p>
            <w:pPr>
              <w:spacing w:before="0" w:after="0" w:line="408" w:lineRule="exact"/>
              <w:ind w:left="0" w:right="0" w:firstLine="0"/>
              <w:jc w:val="center"/>
            </w:pPr>
            <w:r>
              <w:rPr>
                <w:rFonts w:ascii="Times New Roman" w:hAnsi="Times New Roman"/>
                <w:sz w:val="20"/>
              </w:rPr>
              <w:t xml:space="preserve">51,843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9</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r>
              <w:rPr>
                <w:rFonts w:ascii="Times New Roman" w:hAnsi="Times New Roman"/>
                <w:sz w:val="20"/>
              </w:rPr>
              <w:t xml:space="preserve">41,629 </w:t>
            </w:r>
          </w:p>
        </w:tc>
        <w:tc>
          <w:tcPr>
            <w:tcW w:w="1080" w:type="dxa"/>
            <w:vAlign w:val="top"/>
          </w:tcPr>
          <w:p>
            <w:pPr>
              <w:spacing w:before="0" w:after="0" w:line="408" w:lineRule="exact"/>
              <w:ind w:left="0" w:right="0" w:firstLine="0"/>
              <w:jc w:val="center"/>
            </w:pPr>
            <w:r>
              <w:rPr>
                <w:rFonts w:ascii="Times New Roman" w:hAnsi="Times New Roman"/>
                <w:sz w:val="20"/>
              </w:rPr>
              <w:t xml:space="preserve">42,770 </w:t>
            </w:r>
          </w:p>
        </w:tc>
        <w:tc>
          <w:tcPr>
            <w:tcW w:w="920" w:type="dxa"/>
            <w:vAlign w:val="top"/>
          </w:tcPr>
          <w:p>
            <w:pPr>
              <w:spacing w:before="0" w:after="0" w:line="408" w:lineRule="exact"/>
              <w:ind w:left="0" w:right="0" w:firstLine="0"/>
              <w:jc w:val="center"/>
            </w:pPr>
            <w:r>
              <w:rPr>
                <w:rFonts w:ascii="Times New Roman" w:hAnsi="Times New Roman"/>
                <w:sz w:val="20"/>
              </w:rPr>
              <w:t xml:space="preserve">44,290 </w:t>
            </w:r>
          </w:p>
        </w:tc>
        <w:tc>
          <w:tcPr>
            <w:tcW w:w="920" w:type="dxa"/>
            <w:vAlign w:val="top"/>
          </w:tcPr>
          <w:p>
            <w:pPr>
              <w:spacing w:before="0" w:after="0" w:line="408" w:lineRule="exact"/>
              <w:ind w:left="0" w:right="0" w:firstLine="0"/>
              <w:jc w:val="center"/>
            </w:pPr>
            <w:r>
              <w:rPr>
                <w:rFonts w:ascii="Times New Roman" w:hAnsi="Times New Roman"/>
                <w:sz w:val="20"/>
              </w:rPr>
              <w:t xml:space="preserve">47,564 </w:t>
            </w:r>
          </w:p>
        </w:tc>
        <w:tc>
          <w:tcPr>
            <w:tcW w:w="1040" w:type="dxa"/>
            <w:vAlign w:val="top"/>
          </w:tcPr>
          <w:p>
            <w:pPr>
              <w:spacing w:before="0" w:after="0" w:line="408" w:lineRule="exact"/>
              <w:ind w:left="0" w:right="0" w:firstLine="0"/>
              <w:jc w:val="center"/>
            </w:pPr>
            <w:r>
              <w:rPr>
                <w:rFonts w:ascii="Times New Roman" w:hAnsi="Times New Roman"/>
                <w:sz w:val="20"/>
              </w:rPr>
              <w:t xml:space="preserve">49,903 </w:t>
            </w:r>
          </w:p>
        </w:tc>
        <w:tc>
          <w:tcPr>
            <w:tcW w:w="900" w:type="dxa"/>
            <w:vAlign w:val="top"/>
          </w:tcPr>
          <w:p>
            <w:pPr>
              <w:spacing w:before="0" w:after="0" w:line="408" w:lineRule="exact"/>
              <w:ind w:left="0" w:right="0" w:firstLine="0"/>
              <w:jc w:val="center"/>
            </w:pPr>
            <w:r>
              <w:rPr>
                <w:rFonts w:ascii="Times New Roman" w:hAnsi="Times New Roman"/>
                <w:sz w:val="20"/>
              </w:rPr>
              <w:t xml:space="preserve">47,808 </w:t>
            </w:r>
          </w:p>
        </w:tc>
        <w:tc>
          <w:tcPr>
            <w:tcW w:w="920" w:type="dxa"/>
            <w:vAlign w:val="top"/>
          </w:tcPr>
          <w:p>
            <w:pPr>
              <w:spacing w:before="0" w:after="0" w:line="408" w:lineRule="exact"/>
              <w:ind w:left="0" w:right="0" w:firstLine="0"/>
              <w:jc w:val="center"/>
            </w:pPr>
            <w:r>
              <w:rPr>
                <w:rFonts w:ascii="Times New Roman" w:hAnsi="Times New Roman"/>
                <w:sz w:val="20"/>
              </w:rPr>
              <w:t xml:space="preserve">51,084 </w:t>
            </w:r>
          </w:p>
        </w:tc>
        <w:tc>
          <w:tcPr>
            <w:tcW w:w="980" w:type="dxa"/>
            <w:vAlign w:val="top"/>
          </w:tcPr>
          <w:p>
            <w:pPr>
              <w:spacing w:before="0" w:after="0" w:line="408" w:lineRule="exact"/>
              <w:ind w:left="0" w:right="0" w:firstLine="0"/>
              <w:jc w:val="center"/>
            </w:pPr>
            <w:r>
              <w:rPr>
                <w:rFonts w:ascii="Times New Roman" w:hAnsi="Times New Roman"/>
                <w:sz w:val="20"/>
              </w:rPr>
              <w:t xml:space="preserve">53,422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10</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r>
              <w:rPr>
                <w:rFonts w:ascii="Times New Roman" w:hAnsi="Times New Roman"/>
                <w:sz w:val="20"/>
              </w:rPr>
              <w:t xml:space="preserve">44,159 </w:t>
            </w:r>
          </w:p>
        </w:tc>
        <w:tc>
          <w:tcPr>
            <w:tcW w:w="920" w:type="dxa"/>
            <w:vAlign w:val="top"/>
          </w:tcPr>
          <w:p>
            <w:pPr>
              <w:spacing w:before="0" w:after="0" w:line="408" w:lineRule="exact"/>
              <w:ind w:left="0" w:right="0" w:firstLine="0"/>
              <w:jc w:val="center"/>
            </w:pPr>
            <w:r>
              <w:rPr>
                <w:rFonts w:ascii="Times New Roman" w:hAnsi="Times New Roman"/>
                <w:sz w:val="20"/>
              </w:rPr>
              <w:t xml:space="preserve">45,790 </w:t>
            </w:r>
          </w:p>
        </w:tc>
        <w:tc>
          <w:tcPr>
            <w:tcW w:w="920" w:type="dxa"/>
            <w:vAlign w:val="top"/>
          </w:tcPr>
          <w:p>
            <w:pPr>
              <w:spacing w:before="0" w:after="0" w:line="408" w:lineRule="exact"/>
              <w:ind w:left="0" w:right="0" w:firstLine="0"/>
              <w:jc w:val="center"/>
            </w:pPr>
            <w:r>
              <w:rPr>
                <w:rFonts w:ascii="Times New Roman" w:hAnsi="Times New Roman"/>
                <w:sz w:val="20"/>
              </w:rPr>
              <w:t xml:space="preserve">49,107 </w:t>
            </w:r>
          </w:p>
        </w:tc>
        <w:tc>
          <w:tcPr>
            <w:tcW w:w="1040" w:type="dxa"/>
            <w:vAlign w:val="top"/>
          </w:tcPr>
          <w:p>
            <w:pPr>
              <w:spacing w:before="0" w:after="0" w:line="408" w:lineRule="exact"/>
              <w:ind w:left="0" w:right="0" w:firstLine="0"/>
              <w:jc w:val="center"/>
            </w:pPr>
            <w:r>
              <w:rPr>
                <w:rFonts w:ascii="Times New Roman" w:hAnsi="Times New Roman"/>
                <w:sz w:val="20"/>
              </w:rPr>
              <w:t xml:space="preserve">51,524 </w:t>
            </w:r>
          </w:p>
        </w:tc>
        <w:tc>
          <w:tcPr>
            <w:tcW w:w="900" w:type="dxa"/>
            <w:vAlign w:val="top"/>
          </w:tcPr>
          <w:p>
            <w:pPr>
              <w:spacing w:before="0" w:after="0" w:line="408" w:lineRule="exact"/>
              <w:ind w:left="0" w:right="0" w:firstLine="0"/>
              <w:jc w:val="center"/>
            </w:pPr>
            <w:r>
              <w:rPr>
                <w:rFonts w:ascii="Times New Roman" w:hAnsi="Times New Roman"/>
                <w:sz w:val="20"/>
              </w:rPr>
              <w:t xml:space="preserve">49,309 </w:t>
            </w:r>
          </w:p>
        </w:tc>
        <w:tc>
          <w:tcPr>
            <w:tcW w:w="920" w:type="dxa"/>
            <w:vAlign w:val="top"/>
          </w:tcPr>
          <w:p>
            <w:pPr>
              <w:spacing w:before="0" w:after="0" w:line="408" w:lineRule="exact"/>
              <w:ind w:left="0" w:right="0" w:firstLine="0"/>
              <w:jc w:val="center"/>
            </w:pPr>
            <w:r>
              <w:rPr>
                <w:rFonts w:ascii="Times New Roman" w:hAnsi="Times New Roman"/>
                <w:sz w:val="20"/>
              </w:rPr>
              <w:t xml:space="preserve">52,627 </w:t>
            </w:r>
          </w:p>
        </w:tc>
        <w:tc>
          <w:tcPr>
            <w:tcW w:w="980" w:type="dxa"/>
            <w:vAlign w:val="top"/>
          </w:tcPr>
          <w:p>
            <w:pPr>
              <w:spacing w:before="0" w:after="0" w:line="408" w:lineRule="exact"/>
              <w:ind w:left="0" w:right="0" w:firstLine="0"/>
              <w:jc w:val="center"/>
            </w:pPr>
            <w:r>
              <w:rPr>
                <w:rFonts w:ascii="Times New Roman" w:hAnsi="Times New Roman"/>
                <w:sz w:val="20"/>
              </w:rPr>
              <w:t xml:space="preserve">55,043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11</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47,334 </w:t>
            </w:r>
          </w:p>
        </w:tc>
        <w:tc>
          <w:tcPr>
            <w:tcW w:w="920" w:type="dxa"/>
            <w:vAlign w:val="top"/>
          </w:tcPr>
          <w:p>
            <w:pPr>
              <w:spacing w:before="0" w:after="0" w:line="408" w:lineRule="exact"/>
              <w:ind w:left="0" w:right="0" w:firstLine="0"/>
              <w:jc w:val="center"/>
            </w:pPr>
            <w:r>
              <w:rPr>
                <w:rFonts w:ascii="Times New Roman" w:hAnsi="Times New Roman"/>
                <w:sz w:val="20"/>
              </w:rPr>
              <w:t xml:space="preserve">50,723 </w:t>
            </w:r>
          </w:p>
        </w:tc>
        <w:tc>
          <w:tcPr>
            <w:tcW w:w="1040" w:type="dxa"/>
            <w:vAlign w:val="top"/>
          </w:tcPr>
          <w:p>
            <w:pPr>
              <w:spacing w:before="0" w:after="0" w:line="408" w:lineRule="exact"/>
              <w:ind w:left="0" w:right="0" w:firstLine="0"/>
              <w:jc w:val="center"/>
            </w:pPr>
            <w:r>
              <w:rPr>
                <w:rFonts w:ascii="Times New Roman" w:hAnsi="Times New Roman"/>
                <w:sz w:val="20"/>
              </w:rPr>
              <w:t xml:space="preserve">53,189 </w:t>
            </w:r>
          </w:p>
        </w:tc>
        <w:tc>
          <w:tcPr>
            <w:tcW w:w="900" w:type="dxa"/>
            <w:vAlign w:val="top"/>
          </w:tcPr>
          <w:p>
            <w:pPr>
              <w:spacing w:before="0" w:after="0" w:line="408" w:lineRule="exact"/>
              <w:ind w:left="0" w:right="0" w:firstLine="0"/>
              <w:jc w:val="center"/>
            </w:pPr>
            <w:r>
              <w:rPr>
                <w:rFonts w:ascii="Times New Roman" w:hAnsi="Times New Roman"/>
                <w:sz w:val="20"/>
              </w:rPr>
              <w:t xml:space="preserve">50,853 </w:t>
            </w:r>
          </w:p>
        </w:tc>
        <w:tc>
          <w:tcPr>
            <w:tcW w:w="920" w:type="dxa"/>
            <w:vAlign w:val="top"/>
          </w:tcPr>
          <w:p>
            <w:pPr>
              <w:spacing w:before="0" w:after="0" w:line="408" w:lineRule="exact"/>
              <w:ind w:left="0" w:right="0" w:firstLine="0"/>
              <w:jc w:val="center"/>
            </w:pPr>
            <w:r>
              <w:rPr>
                <w:rFonts w:ascii="Times New Roman" w:hAnsi="Times New Roman"/>
                <w:sz w:val="20"/>
              </w:rPr>
              <w:t xml:space="preserve">54,243 </w:t>
            </w:r>
          </w:p>
        </w:tc>
        <w:tc>
          <w:tcPr>
            <w:tcW w:w="980" w:type="dxa"/>
            <w:vAlign w:val="top"/>
          </w:tcPr>
          <w:p>
            <w:pPr>
              <w:spacing w:before="0" w:after="0" w:line="408" w:lineRule="exact"/>
              <w:ind w:left="0" w:right="0" w:firstLine="0"/>
              <w:jc w:val="center"/>
            </w:pPr>
            <w:r>
              <w:rPr>
                <w:rFonts w:ascii="Times New Roman" w:hAnsi="Times New Roman"/>
                <w:sz w:val="20"/>
              </w:rPr>
              <w:t xml:space="preserve">56,707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12</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48,828 </w:t>
            </w:r>
          </w:p>
        </w:tc>
        <w:tc>
          <w:tcPr>
            <w:tcW w:w="920" w:type="dxa"/>
            <w:vAlign w:val="top"/>
          </w:tcPr>
          <w:p>
            <w:pPr>
              <w:spacing w:before="0" w:after="0" w:line="408" w:lineRule="exact"/>
              <w:ind w:left="0" w:right="0" w:firstLine="0"/>
              <w:jc w:val="center"/>
            </w:pPr>
            <w:r>
              <w:rPr>
                <w:rFonts w:ascii="Times New Roman" w:hAnsi="Times New Roman"/>
                <w:sz w:val="20"/>
              </w:rPr>
              <w:t xml:space="preserve">52,383 </w:t>
            </w:r>
          </w:p>
        </w:tc>
        <w:tc>
          <w:tcPr>
            <w:tcW w:w="1040" w:type="dxa"/>
            <w:vAlign w:val="top"/>
          </w:tcPr>
          <w:p>
            <w:pPr>
              <w:spacing w:before="0" w:after="0" w:line="408" w:lineRule="exact"/>
              <w:ind w:left="0" w:right="0" w:firstLine="0"/>
              <w:jc w:val="center"/>
            </w:pPr>
            <w:r>
              <w:rPr>
                <w:rFonts w:ascii="Times New Roman" w:hAnsi="Times New Roman"/>
                <w:sz w:val="20"/>
              </w:rPr>
              <w:t xml:space="preserve">54,921 </w:t>
            </w:r>
          </w:p>
        </w:tc>
        <w:tc>
          <w:tcPr>
            <w:tcW w:w="900" w:type="dxa"/>
            <w:vAlign w:val="top"/>
          </w:tcPr>
          <w:p>
            <w:pPr>
              <w:spacing w:before="0" w:after="0" w:line="408" w:lineRule="exact"/>
              <w:ind w:left="0" w:right="0" w:firstLine="0"/>
              <w:jc w:val="center"/>
            </w:pPr>
            <w:r>
              <w:rPr>
                <w:rFonts w:ascii="Times New Roman" w:hAnsi="Times New Roman"/>
                <w:sz w:val="20"/>
              </w:rPr>
              <w:t xml:space="preserve">52,457 </w:t>
            </w:r>
          </w:p>
        </w:tc>
        <w:tc>
          <w:tcPr>
            <w:tcW w:w="920" w:type="dxa"/>
            <w:vAlign w:val="top"/>
          </w:tcPr>
          <w:p>
            <w:pPr>
              <w:spacing w:before="0" w:after="0" w:line="408" w:lineRule="exact"/>
              <w:ind w:left="0" w:right="0" w:firstLine="0"/>
              <w:jc w:val="center"/>
            </w:pPr>
            <w:r>
              <w:rPr>
                <w:rFonts w:ascii="Times New Roman" w:hAnsi="Times New Roman"/>
                <w:sz w:val="20"/>
              </w:rPr>
              <w:t xml:space="preserve">55,902 </w:t>
            </w:r>
          </w:p>
        </w:tc>
        <w:tc>
          <w:tcPr>
            <w:tcW w:w="980" w:type="dxa"/>
            <w:vAlign w:val="top"/>
          </w:tcPr>
          <w:p>
            <w:pPr>
              <w:spacing w:before="0" w:after="0" w:line="408" w:lineRule="exact"/>
              <w:ind w:left="0" w:right="0" w:firstLine="0"/>
              <w:jc w:val="center"/>
            </w:pPr>
            <w:r>
              <w:rPr>
                <w:rFonts w:ascii="Times New Roman" w:hAnsi="Times New Roman"/>
                <w:sz w:val="20"/>
              </w:rPr>
              <w:t xml:space="preserve">58,441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13</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54,082 </w:t>
            </w:r>
          </w:p>
        </w:tc>
        <w:tc>
          <w:tcPr>
            <w:tcW w:w="1040" w:type="dxa"/>
            <w:vAlign w:val="top"/>
          </w:tcPr>
          <w:p>
            <w:pPr>
              <w:spacing w:before="0" w:after="0" w:line="408" w:lineRule="exact"/>
              <w:ind w:left="0" w:right="0" w:firstLine="0"/>
              <w:jc w:val="center"/>
            </w:pPr>
            <w:r>
              <w:rPr>
                <w:rFonts w:ascii="Times New Roman" w:hAnsi="Times New Roman"/>
                <w:sz w:val="20"/>
              </w:rPr>
              <w:t xml:space="preserve">56,697 </w:t>
            </w:r>
          </w:p>
        </w:tc>
        <w:tc>
          <w:tcPr>
            <w:tcW w:w="900" w:type="dxa"/>
            <w:vAlign w:val="top"/>
          </w:tcPr>
          <w:p>
            <w:pPr>
              <w:spacing w:before="0" w:after="0" w:line="408" w:lineRule="exact"/>
              <w:ind w:left="0" w:right="0" w:firstLine="0"/>
              <w:jc w:val="center"/>
            </w:pPr>
            <w:r>
              <w:rPr>
                <w:rFonts w:ascii="Times New Roman" w:hAnsi="Times New Roman"/>
                <w:sz w:val="20"/>
              </w:rPr>
              <w:t xml:space="preserve">54,118 </w:t>
            </w:r>
          </w:p>
        </w:tc>
        <w:tc>
          <w:tcPr>
            <w:tcW w:w="920" w:type="dxa"/>
            <w:vAlign w:val="top"/>
          </w:tcPr>
          <w:p>
            <w:pPr>
              <w:spacing w:before="0" w:after="0" w:line="408" w:lineRule="exact"/>
              <w:ind w:left="0" w:right="0" w:firstLine="0"/>
              <w:jc w:val="center"/>
            </w:pPr>
            <w:r>
              <w:rPr>
                <w:rFonts w:ascii="Times New Roman" w:hAnsi="Times New Roman"/>
                <w:sz w:val="20"/>
              </w:rPr>
              <w:t xml:space="preserve">57,601 </w:t>
            </w:r>
          </w:p>
        </w:tc>
        <w:tc>
          <w:tcPr>
            <w:tcW w:w="980" w:type="dxa"/>
            <w:vAlign w:val="top"/>
          </w:tcPr>
          <w:p>
            <w:pPr>
              <w:spacing w:before="0" w:after="0" w:line="408" w:lineRule="exact"/>
              <w:ind w:left="0" w:right="0" w:firstLine="0"/>
              <w:jc w:val="center"/>
            </w:pPr>
            <w:r>
              <w:rPr>
                <w:rFonts w:ascii="Times New Roman" w:hAnsi="Times New Roman"/>
                <w:sz w:val="20"/>
              </w:rPr>
              <w:t xml:space="preserve">60,216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14</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55,790 </w:t>
            </w:r>
          </w:p>
        </w:tc>
        <w:tc>
          <w:tcPr>
            <w:tcW w:w="1040" w:type="dxa"/>
            <w:vAlign w:val="top"/>
          </w:tcPr>
          <w:p>
            <w:pPr>
              <w:spacing w:before="0" w:after="0" w:line="408" w:lineRule="exact"/>
              <w:ind w:left="0" w:right="0" w:firstLine="0"/>
              <w:jc w:val="center"/>
            </w:pPr>
            <w:r>
              <w:rPr>
                <w:rFonts w:ascii="Times New Roman" w:hAnsi="Times New Roman"/>
                <w:sz w:val="20"/>
              </w:rPr>
              <w:t xml:space="preserve">58,539 </w:t>
            </w:r>
          </w:p>
        </w:tc>
        <w:tc>
          <w:tcPr>
            <w:tcW w:w="900" w:type="dxa"/>
            <w:vAlign w:val="top"/>
          </w:tcPr>
          <w:p>
            <w:pPr>
              <w:spacing w:before="0" w:after="0" w:line="408" w:lineRule="exact"/>
              <w:ind w:left="0" w:right="0" w:firstLine="0"/>
              <w:jc w:val="center"/>
            </w:pPr>
            <w:r>
              <w:rPr>
                <w:rFonts w:ascii="Times New Roman" w:hAnsi="Times New Roman"/>
                <w:sz w:val="20"/>
              </w:rPr>
              <w:t xml:space="preserve">55,828 </w:t>
            </w:r>
          </w:p>
        </w:tc>
        <w:tc>
          <w:tcPr>
            <w:tcW w:w="920" w:type="dxa"/>
            <w:vAlign w:val="top"/>
          </w:tcPr>
          <w:p>
            <w:pPr>
              <w:spacing w:before="0" w:after="0" w:line="408" w:lineRule="exact"/>
              <w:ind w:left="0" w:right="0" w:firstLine="0"/>
              <w:jc w:val="center"/>
            </w:pPr>
            <w:r>
              <w:rPr>
                <w:rFonts w:ascii="Times New Roman" w:hAnsi="Times New Roman"/>
                <w:sz w:val="20"/>
              </w:rPr>
              <w:t xml:space="preserve">59,421 </w:t>
            </w:r>
          </w:p>
        </w:tc>
        <w:tc>
          <w:tcPr>
            <w:tcW w:w="980" w:type="dxa"/>
            <w:vAlign w:val="top"/>
          </w:tcPr>
          <w:p>
            <w:pPr>
              <w:spacing w:before="0" w:after="0" w:line="408" w:lineRule="exact"/>
              <w:ind w:left="0" w:right="0" w:firstLine="0"/>
              <w:jc w:val="center"/>
            </w:pPr>
            <w:r>
              <w:rPr>
                <w:rFonts w:ascii="Times New Roman" w:hAnsi="Times New Roman"/>
                <w:sz w:val="20"/>
              </w:rPr>
              <w:t xml:space="preserve">62,059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15 </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57,242 </w:t>
            </w:r>
          </w:p>
        </w:tc>
        <w:tc>
          <w:tcPr>
            <w:tcW w:w="1040" w:type="dxa"/>
            <w:vAlign w:val="top"/>
          </w:tcPr>
          <w:p>
            <w:pPr>
              <w:spacing w:before="0" w:after="0" w:line="408" w:lineRule="exact"/>
              <w:ind w:left="0" w:right="0" w:firstLine="0"/>
              <w:jc w:val="center"/>
            </w:pPr>
            <w:r>
              <w:rPr>
                <w:rFonts w:ascii="Times New Roman" w:hAnsi="Times New Roman"/>
                <w:sz w:val="20"/>
              </w:rPr>
              <w:t xml:space="preserve">60,062 </w:t>
            </w:r>
          </w:p>
        </w:tc>
        <w:tc>
          <w:tcPr>
            <w:tcW w:w="900" w:type="dxa"/>
            <w:vAlign w:val="top"/>
          </w:tcPr>
          <w:p>
            <w:pPr>
              <w:spacing w:before="0" w:after="0" w:line="408" w:lineRule="exact"/>
              <w:ind w:left="0" w:right="0" w:firstLine="0"/>
              <w:jc w:val="center"/>
            </w:pPr>
            <w:r>
              <w:rPr>
                <w:rFonts w:ascii="Times New Roman" w:hAnsi="Times New Roman"/>
                <w:sz w:val="20"/>
              </w:rPr>
              <w:t xml:space="preserve">57,279 </w:t>
            </w:r>
          </w:p>
        </w:tc>
        <w:tc>
          <w:tcPr>
            <w:tcW w:w="920" w:type="dxa"/>
            <w:vAlign w:val="top"/>
          </w:tcPr>
          <w:p>
            <w:pPr>
              <w:spacing w:before="0" w:after="0" w:line="408" w:lineRule="exact"/>
              <w:ind w:left="0" w:right="0" w:firstLine="0"/>
              <w:jc w:val="center"/>
            </w:pPr>
            <w:r>
              <w:rPr>
                <w:rFonts w:ascii="Times New Roman" w:hAnsi="Times New Roman"/>
                <w:sz w:val="20"/>
              </w:rPr>
              <w:t xml:space="preserve">60,966 </w:t>
            </w:r>
          </w:p>
        </w:tc>
        <w:tc>
          <w:tcPr>
            <w:tcW w:w="980" w:type="dxa"/>
            <w:vAlign w:val="top"/>
          </w:tcPr>
          <w:p>
            <w:pPr>
              <w:spacing w:before="0" w:after="0" w:line="408" w:lineRule="exact"/>
              <w:ind w:left="0" w:right="0" w:firstLine="0"/>
              <w:jc w:val="center"/>
            </w:pPr>
            <w:r>
              <w:rPr>
                <w:rFonts w:ascii="Times New Roman" w:hAnsi="Times New Roman"/>
                <w:sz w:val="20"/>
              </w:rPr>
              <w:t xml:space="preserve">63,672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58,386 </w:t>
            </w:r>
          </w:p>
        </w:tc>
        <w:tc>
          <w:tcPr>
            <w:tcW w:w="1040" w:type="dxa"/>
            <w:vAlign w:val="top"/>
          </w:tcPr>
          <w:p>
            <w:pPr>
              <w:spacing w:before="0" w:after="0" w:line="408" w:lineRule="exact"/>
              <w:ind w:left="0" w:right="0" w:firstLine="0"/>
              <w:jc w:val="center"/>
            </w:pPr>
            <w:r>
              <w:rPr>
                <w:rFonts w:ascii="Times New Roman" w:hAnsi="Times New Roman"/>
                <w:sz w:val="20"/>
              </w:rPr>
              <w:t xml:space="preserve">61,262 </w:t>
            </w:r>
          </w:p>
        </w:tc>
        <w:tc>
          <w:tcPr>
            <w:tcW w:w="900" w:type="dxa"/>
            <w:vAlign w:val="top"/>
          </w:tcPr>
          <w:p>
            <w:pPr>
              <w:spacing w:before="0" w:after="0" w:line="408" w:lineRule="exact"/>
              <w:ind w:left="0" w:right="0" w:firstLine="0"/>
              <w:jc w:val="center"/>
            </w:pPr>
            <w:r>
              <w:rPr>
                <w:rFonts w:ascii="Times New Roman" w:hAnsi="Times New Roman"/>
                <w:sz w:val="20"/>
              </w:rPr>
              <w:t xml:space="preserve">58,424 </w:t>
            </w:r>
          </w:p>
        </w:tc>
        <w:tc>
          <w:tcPr>
            <w:tcW w:w="920" w:type="dxa"/>
            <w:vAlign w:val="top"/>
          </w:tcPr>
          <w:p>
            <w:pPr>
              <w:spacing w:before="0" w:after="0" w:line="408" w:lineRule="exact"/>
              <w:ind w:left="0" w:right="0" w:firstLine="0"/>
              <w:jc w:val="center"/>
            </w:pPr>
            <w:r>
              <w:rPr>
                <w:rFonts w:ascii="Times New Roman" w:hAnsi="Times New Roman"/>
                <w:sz w:val="20"/>
              </w:rPr>
              <w:t xml:space="preserve">62,185 </w:t>
            </w:r>
          </w:p>
        </w:tc>
        <w:tc>
          <w:tcPr>
            <w:tcW w:w="980" w:type="dxa"/>
            <w:vAlign w:val="top"/>
          </w:tcPr>
          <w:p>
            <w:pPr>
              <w:spacing w:before="0" w:after="0" w:line="408" w:lineRule="exact"/>
              <w:ind w:left="0" w:right="0" w:firstLine="0"/>
              <w:jc w:val="center"/>
            </w:pPr>
            <w:r>
              <w:rPr>
                <w:rFonts w:ascii="Times New Roman" w:hAnsi="Times New Roman"/>
                <w:sz w:val="20"/>
              </w:rPr>
              <w:t xml:space="preserve">64,945 </w:t>
            </w:r>
          </w:p>
        </w:tc>
      </w:tr>
      <w:tr>
        <w:tc>
          <w:tcPr>
            <w:tcW w:w="1180" w:type="dxa"/>
            <w:vAlign w:val="top"/>
          </w:tcPr>
          <w:p>
            <w:pPr>
              <w:spacing w:before="0" w:after="0" w:line="408" w:lineRule="exact"/>
              <w:ind w:left="0" w:right="0" w:firstLine="0"/>
              <w:jc w:val="center"/>
            </w:pPr>
          </w:p>
          <w:p>
            <w:pPr>
              <w:spacing w:before="0" w:after="0" w:line="408" w:lineRule="exact"/>
              <w:ind w:left="0" w:right="0" w:firstLine="0"/>
              <w:jc w:val="center"/>
            </w:pP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0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80" w:type="dxa"/>
            <w:vAlign w:val="top"/>
          </w:tcPr>
          <w:p>
            <w:pPr>
              <w:spacing w:before="0" w:after="0" w:line="408" w:lineRule="exact"/>
              <w:ind w:left="0" w:right="0" w:firstLine="0"/>
              <w:jc w:val="center"/>
            </w:pP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180"/>
        <w:gridCol w:w="1100"/>
        <w:gridCol w:w="1120"/>
        <w:gridCol w:w="1060"/>
        <w:gridCol w:w="1040"/>
        <w:gridCol w:w="920"/>
        <w:gridCol w:w="940"/>
        <w:gridCol w:w="900"/>
        <w:gridCol w:w="920"/>
        <w:gridCol w:w="9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Years</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6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180" w:type="dxa"/>
            <w:vAlign w:val="top"/>
          </w:tcPr>
          <w:p>
            <w:pPr>
              <w:spacing w:before="0" w:after="0" w:line="408" w:lineRule="exact"/>
              <w:ind w:left="0" w:right="0" w:firstLine="0"/>
              <w:jc w:val="center"/>
            </w:pPr>
            <w:r>
              <w:rPr>
                <w:rFonts w:ascii="Times New Roman" w:hAnsi="Times New Roman"/>
                <w:sz w:val="20"/>
              </w:rPr>
              <w:t xml:space="preserve">of</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6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180" w:type="dxa"/>
            <w:vAlign w:val="top"/>
          </w:tcPr>
          <w:p>
            <w:pPr>
              <w:spacing w:before="0" w:after="0" w:line="408" w:lineRule="exact"/>
              <w:ind w:left="0" w:right="0" w:firstLine="0"/>
              <w:jc w:val="center"/>
            </w:pPr>
            <w:r>
              <w:rPr>
                <w:rFonts w:ascii="Times New Roman" w:hAnsi="Times New Roman"/>
                <w:sz w:val="20"/>
              </w:rPr>
              <w:t xml:space="preserve">Service</w:t>
            </w:r>
          </w:p>
        </w:tc>
        <w:tc>
          <w:tcPr>
            <w:tcW w:w="1100" w:type="dxa"/>
            <w:vAlign w:val="top"/>
          </w:tcPr>
          <w:p>
            <w:pPr>
              <w:spacing w:before="0" w:after="0" w:line="408" w:lineRule="exact"/>
              <w:ind w:left="0" w:right="0" w:firstLine="0"/>
              <w:jc w:val="center"/>
            </w:pPr>
            <w:r>
              <w:rPr>
                <w:rFonts w:ascii="Times New Roman" w:hAnsi="Times New Roman"/>
                <w:sz w:val="20"/>
              </w:rPr>
              <w:t xml:space="preserve"> BA </w:t>
            </w:r>
          </w:p>
        </w:tc>
        <w:tc>
          <w:tcPr>
            <w:tcW w:w="1120" w:type="dxa"/>
            <w:vAlign w:val="top"/>
          </w:tcPr>
          <w:p>
            <w:pPr>
              <w:spacing w:before="0" w:after="0" w:line="408" w:lineRule="exact"/>
              <w:ind w:left="0" w:right="0" w:firstLine="0"/>
              <w:jc w:val="center"/>
            </w:pPr>
            <w:r>
              <w:rPr>
                <w:rFonts w:ascii="Times New Roman" w:hAnsi="Times New Roman"/>
                <w:sz w:val="20"/>
              </w:rPr>
              <w:t xml:space="preserve">BA+15</w:t>
            </w:r>
          </w:p>
        </w:tc>
        <w:tc>
          <w:tcPr>
            <w:tcW w:w="1060" w:type="dxa"/>
            <w:vAlign w:val="top"/>
          </w:tcPr>
          <w:p>
            <w:pPr>
              <w:spacing w:before="0" w:after="0" w:line="408" w:lineRule="exact"/>
              <w:ind w:left="0" w:right="0" w:firstLine="0"/>
              <w:jc w:val="center"/>
            </w:pPr>
            <w:r>
              <w:rPr>
                <w:rFonts w:ascii="Times New Roman" w:hAnsi="Times New Roman"/>
                <w:sz w:val="20"/>
              </w:rPr>
              <w:t xml:space="preserve">BA+30</w:t>
            </w:r>
          </w:p>
        </w:tc>
        <w:tc>
          <w:tcPr>
            <w:tcW w:w="1040" w:type="dxa"/>
            <w:vAlign w:val="top"/>
          </w:tcPr>
          <w:p>
            <w:pPr>
              <w:spacing w:before="0" w:after="0" w:line="408" w:lineRule="exact"/>
              <w:ind w:left="0" w:right="0" w:firstLine="0"/>
              <w:jc w:val="center"/>
            </w:pPr>
            <w:r>
              <w:rPr>
                <w:rFonts w:ascii="Times New Roman" w:hAnsi="Times New Roman"/>
                <w:sz w:val="20"/>
              </w:rPr>
              <w:t xml:space="preserve">BA+45</w:t>
            </w:r>
          </w:p>
        </w:tc>
        <w:tc>
          <w:tcPr>
            <w:tcW w:w="920" w:type="dxa"/>
            <w:vAlign w:val="top"/>
          </w:tcPr>
          <w:p>
            <w:pPr>
              <w:spacing w:before="0" w:after="0" w:line="408" w:lineRule="exact"/>
              <w:ind w:left="0" w:right="0" w:firstLine="0"/>
              <w:jc w:val="center"/>
            </w:pPr>
            <w:r>
              <w:rPr>
                <w:rFonts w:ascii="Times New Roman" w:hAnsi="Times New Roman"/>
                <w:sz w:val="20"/>
              </w:rPr>
              <w:t xml:space="preserve">BA+90</w:t>
            </w:r>
          </w:p>
        </w:tc>
        <w:tc>
          <w:tcPr>
            <w:tcW w:w="940" w:type="dxa"/>
            <w:vAlign w:val="top"/>
          </w:tcPr>
          <w:p>
            <w:pPr>
              <w:spacing w:before="0" w:after="0" w:line="408" w:lineRule="exact"/>
              <w:ind w:left="0" w:right="0" w:firstLine="0"/>
              <w:jc w:val="center"/>
            </w:pPr>
            <w:r>
              <w:rPr>
                <w:rFonts w:ascii="Times New Roman" w:hAnsi="Times New Roman"/>
                <w:sz w:val="20"/>
              </w:rPr>
              <w:t xml:space="preserve">BA+135</w:t>
            </w:r>
          </w:p>
        </w:tc>
        <w:tc>
          <w:tcPr>
            <w:tcW w:w="900" w:type="dxa"/>
            <w:vAlign w:val="top"/>
          </w:tcPr>
          <w:p>
            <w:pPr>
              <w:spacing w:before="0" w:after="0" w:line="408" w:lineRule="exact"/>
              <w:ind w:left="0" w:right="0" w:firstLine="0"/>
              <w:jc w:val="center"/>
            </w:pPr>
            <w:r>
              <w:rPr>
                <w:rFonts w:ascii="Times New Roman" w:hAnsi="Times New Roman"/>
                <w:sz w:val="20"/>
              </w:rPr>
              <w:t xml:space="preserve"> MA </w:t>
            </w:r>
          </w:p>
        </w:tc>
        <w:tc>
          <w:tcPr>
            <w:tcW w:w="920" w:type="dxa"/>
            <w:vAlign w:val="top"/>
          </w:tcPr>
          <w:p>
            <w:pPr>
              <w:spacing w:before="0" w:after="0" w:line="408" w:lineRule="exact"/>
              <w:ind w:left="0" w:right="0" w:firstLine="0"/>
              <w:jc w:val="center"/>
            </w:pPr>
            <w:r>
              <w:rPr>
                <w:rFonts w:ascii="Times New Roman" w:hAnsi="Times New Roman"/>
                <w:sz w:val="20"/>
              </w:rPr>
              <w:t xml:space="preserve">MA+45</w:t>
            </w:r>
          </w:p>
        </w:tc>
        <w:tc>
          <w:tcPr>
            <w:tcW w:w="9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180" w:type="dxa"/>
            <w:vAlign w:val="top"/>
          </w:tcPr>
          <w:p>
            <w:pPr>
              <w:spacing w:before="0" w:after="0" w:line="408" w:lineRule="exact"/>
              <w:ind w:left="0" w:right="0" w:firstLine="0"/>
              <w:jc w:val="center"/>
            </w:pPr>
            <w:r>
              <w:rPr>
                <w:rFonts w:ascii="Times New Roman" w:hAnsi="Times New Roman"/>
                <w:sz w:val="20"/>
              </w:rPr>
              <w:t xml:space="preserve">0</w:t>
            </w:r>
          </w:p>
        </w:tc>
        <w:tc>
          <w:tcPr>
            <w:tcW w:w="1100" w:type="dxa"/>
            <w:vAlign w:val="top"/>
          </w:tcPr>
          <w:p>
            <w:pPr>
              <w:spacing w:before="0" w:after="0" w:line="408" w:lineRule="exact"/>
              <w:ind w:left="0" w:right="0" w:firstLine="0"/>
              <w:jc w:val="center"/>
            </w:pPr>
            <w:r>
              <w:rPr>
                <w:rFonts w:ascii="Times New Roman" w:hAnsi="Times New Roman"/>
                <w:sz w:val="20"/>
              </w:rPr>
              <w:t xml:space="preserve">35,077 </w:t>
            </w:r>
          </w:p>
        </w:tc>
        <w:tc>
          <w:tcPr>
            <w:tcW w:w="1120" w:type="dxa"/>
            <w:vAlign w:val="top"/>
          </w:tcPr>
          <w:p>
            <w:pPr>
              <w:spacing w:before="0" w:after="0" w:line="408" w:lineRule="exact"/>
              <w:ind w:left="0" w:right="0" w:firstLine="0"/>
              <w:jc w:val="center"/>
            </w:pPr>
            <w:r>
              <w:rPr>
                <w:rFonts w:ascii="Times New Roman" w:hAnsi="Times New Roman"/>
                <w:sz w:val="20"/>
              </w:rPr>
              <w:t xml:space="preserve">36,024 </w:t>
            </w:r>
          </w:p>
        </w:tc>
        <w:tc>
          <w:tcPr>
            <w:tcW w:w="1060" w:type="dxa"/>
            <w:vAlign w:val="top"/>
          </w:tcPr>
          <w:p>
            <w:pPr>
              <w:spacing w:before="0" w:after="0" w:line="408" w:lineRule="exact"/>
              <w:ind w:left="0" w:right="0" w:firstLine="0"/>
              <w:jc w:val="center"/>
            </w:pPr>
            <w:r>
              <w:rPr>
                <w:rFonts w:ascii="Times New Roman" w:hAnsi="Times New Roman"/>
                <w:sz w:val="20"/>
              </w:rPr>
              <w:t xml:space="preserve">37,006 </w:t>
            </w:r>
          </w:p>
        </w:tc>
        <w:tc>
          <w:tcPr>
            <w:tcW w:w="1040" w:type="dxa"/>
            <w:vAlign w:val="top"/>
          </w:tcPr>
          <w:p>
            <w:pPr>
              <w:spacing w:before="0" w:after="0" w:line="408" w:lineRule="exact"/>
              <w:ind w:left="0" w:right="0" w:firstLine="0"/>
              <w:jc w:val="center"/>
            </w:pPr>
            <w:r>
              <w:rPr>
                <w:rFonts w:ascii="Times New Roman" w:hAnsi="Times New Roman"/>
                <w:sz w:val="20"/>
              </w:rPr>
              <w:t xml:space="preserve">37,990 </w:t>
            </w:r>
          </w:p>
        </w:tc>
        <w:tc>
          <w:tcPr>
            <w:tcW w:w="920" w:type="dxa"/>
            <w:vAlign w:val="top"/>
          </w:tcPr>
          <w:p>
            <w:pPr>
              <w:spacing w:before="0" w:after="0" w:line="408" w:lineRule="exact"/>
              <w:ind w:left="0" w:right="0" w:firstLine="0"/>
              <w:jc w:val="center"/>
            </w:pPr>
            <w:r>
              <w:rPr>
                <w:rFonts w:ascii="Times New Roman" w:hAnsi="Times New Roman"/>
                <w:sz w:val="20"/>
              </w:rPr>
              <w:t xml:space="preserve">41,146 </w:t>
            </w:r>
          </w:p>
        </w:tc>
        <w:tc>
          <w:tcPr>
            <w:tcW w:w="940" w:type="dxa"/>
            <w:vAlign w:val="top"/>
          </w:tcPr>
          <w:p>
            <w:pPr>
              <w:spacing w:before="0" w:after="0" w:line="408" w:lineRule="exact"/>
              <w:ind w:left="0" w:right="0" w:firstLine="0"/>
              <w:jc w:val="center"/>
            </w:pPr>
            <w:r>
              <w:rPr>
                <w:rFonts w:ascii="Times New Roman" w:hAnsi="Times New Roman"/>
                <w:sz w:val="20"/>
              </w:rPr>
              <w:t xml:space="preserve">43,179 </w:t>
            </w:r>
          </w:p>
        </w:tc>
        <w:tc>
          <w:tcPr>
            <w:tcW w:w="900" w:type="dxa"/>
            <w:vAlign w:val="top"/>
          </w:tcPr>
          <w:p>
            <w:pPr>
              <w:spacing w:before="0" w:after="0" w:line="408" w:lineRule="exact"/>
              <w:ind w:left="0" w:right="0" w:firstLine="0"/>
              <w:jc w:val="center"/>
            </w:pPr>
            <w:r>
              <w:rPr>
                <w:rFonts w:ascii="Times New Roman" w:hAnsi="Times New Roman"/>
                <w:sz w:val="20"/>
              </w:rPr>
              <w:t xml:space="preserve">42,054 </w:t>
            </w:r>
          </w:p>
        </w:tc>
        <w:tc>
          <w:tcPr>
            <w:tcW w:w="920" w:type="dxa"/>
            <w:vAlign w:val="top"/>
          </w:tcPr>
          <w:p>
            <w:pPr>
              <w:spacing w:before="0" w:after="0" w:line="408" w:lineRule="exact"/>
              <w:ind w:left="0" w:right="0" w:firstLine="0"/>
              <w:jc w:val="center"/>
            </w:pPr>
            <w:r>
              <w:rPr>
                <w:rFonts w:ascii="Times New Roman" w:hAnsi="Times New Roman"/>
                <w:sz w:val="20"/>
              </w:rPr>
              <w:t xml:space="preserve">45,211 </w:t>
            </w:r>
          </w:p>
        </w:tc>
        <w:tc>
          <w:tcPr>
            <w:tcW w:w="980" w:type="dxa"/>
            <w:vAlign w:val="top"/>
          </w:tcPr>
          <w:p>
            <w:pPr>
              <w:spacing w:before="0" w:after="0" w:line="408" w:lineRule="exact"/>
              <w:ind w:left="0" w:right="0" w:firstLine="0"/>
              <w:jc w:val="center"/>
            </w:pPr>
            <w:r>
              <w:rPr>
                <w:rFonts w:ascii="Times New Roman" w:hAnsi="Times New Roman"/>
                <w:sz w:val="20"/>
              </w:rPr>
              <w:t xml:space="preserve">47,246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w:t>
            </w:r>
          </w:p>
        </w:tc>
        <w:tc>
          <w:tcPr>
            <w:tcW w:w="1100" w:type="dxa"/>
            <w:vAlign w:val="top"/>
          </w:tcPr>
          <w:p>
            <w:pPr>
              <w:spacing w:before="0" w:after="0" w:line="408" w:lineRule="exact"/>
              <w:ind w:left="0" w:right="0" w:firstLine="0"/>
              <w:jc w:val="center"/>
            </w:pPr>
            <w:r>
              <w:rPr>
                <w:rFonts w:ascii="Times New Roman" w:hAnsi="Times New Roman"/>
                <w:sz w:val="20"/>
              </w:rPr>
              <w:t xml:space="preserve">35,549 </w:t>
            </w:r>
          </w:p>
        </w:tc>
        <w:tc>
          <w:tcPr>
            <w:tcW w:w="1120" w:type="dxa"/>
            <w:vAlign w:val="top"/>
          </w:tcPr>
          <w:p>
            <w:pPr>
              <w:spacing w:before="0" w:after="0" w:line="408" w:lineRule="exact"/>
              <w:ind w:left="0" w:right="0" w:firstLine="0"/>
              <w:jc w:val="center"/>
            </w:pPr>
            <w:r>
              <w:rPr>
                <w:rFonts w:ascii="Times New Roman" w:hAnsi="Times New Roman"/>
                <w:sz w:val="20"/>
              </w:rPr>
              <w:t xml:space="preserve">36,510 </w:t>
            </w:r>
          </w:p>
        </w:tc>
        <w:tc>
          <w:tcPr>
            <w:tcW w:w="1060" w:type="dxa"/>
            <w:vAlign w:val="top"/>
          </w:tcPr>
          <w:p>
            <w:pPr>
              <w:spacing w:before="0" w:after="0" w:line="408" w:lineRule="exact"/>
              <w:ind w:left="0" w:right="0" w:firstLine="0"/>
              <w:jc w:val="center"/>
            </w:pPr>
            <w:r>
              <w:rPr>
                <w:rFonts w:ascii="Times New Roman" w:hAnsi="Times New Roman"/>
                <w:sz w:val="20"/>
              </w:rPr>
              <w:t xml:space="preserve">37,504 </w:t>
            </w:r>
          </w:p>
        </w:tc>
        <w:tc>
          <w:tcPr>
            <w:tcW w:w="1040" w:type="dxa"/>
            <w:vAlign w:val="top"/>
          </w:tcPr>
          <w:p>
            <w:pPr>
              <w:spacing w:before="0" w:after="0" w:line="408" w:lineRule="exact"/>
              <w:ind w:left="0" w:right="0" w:firstLine="0"/>
              <w:jc w:val="center"/>
            </w:pPr>
            <w:r>
              <w:rPr>
                <w:rFonts w:ascii="Times New Roman" w:hAnsi="Times New Roman"/>
                <w:sz w:val="20"/>
              </w:rPr>
              <w:t xml:space="preserve">38,531 </w:t>
            </w:r>
          </w:p>
        </w:tc>
        <w:tc>
          <w:tcPr>
            <w:tcW w:w="920" w:type="dxa"/>
            <w:vAlign w:val="top"/>
          </w:tcPr>
          <w:p>
            <w:pPr>
              <w:spacing w:before="0" w:after="0" w:line="408" w:lineRule="exact"/>
              <w:ind w:left="0" w:right="0" w:firstLine="0"/>
              <w:jc w:val="center"/>
            </w:pPr>
            <w:r>
              <w:rPr>
                <w:rFonts w:ascii="Times New Roman" w:hAnsi="Times New Roman"/>
                <w:sz w:val="20"/>
              </w:rPr>
              <w:t xml:space="preserve">41,720 </w:t>
            </w:r>
          </w:p>
        </w:tc>
        <w:tc>
          <w:tcPr>
            <w:tcW w:w="940" w:type="dxa"/>
            <w:vAlign w:val="top"/>
          </w:tcPr>
          <w:p>
            <w:pPr>
              <w:spacing w:before="0" w:after="0" w:line="408" w:lineRule="exact"/>
              <w:ind w:left="0" w:right="0" w:firstLine="0"/>
              <w:jc w:val="center"/>
            </w:pPr>
            <w:r>
              <w:rPr>
                <w:rFonts w:ascii="Times New Roman" w:hAnsi="Times New Roman"/>
                <w:sz w:val="20"/>
              </w:rPr>
              <w:t xml:space="preserve">43,742 </w:t>
            </w:r>
          </w:p>
        </w:tc>
        <w:tc>
          <w:tcPr>
            <w:tcW w:w="900" w:type="dxa"/>
            <w:vAlign w:val="top"/>
          </w:tcPr>
          <w:p>
            <w:pPr>
              <w:spacing w:before="0" w:after="0" w:line="408" w:lineRule="exact"/>
              <w:ind w:left="0" w:right="0" w:firstLine="0"/>
              <w:jc w:val="center"/>
            </w:pPr>
            <w:r>
              <w:rPr>
                <w:rFonts w:ascii="Times New Roman" w:hAnsi="Times New Roman"/>
                <w:sz w:val="20"/>
              </w:rPr>
              <w:t xml:space="preserve">42,522 </w:t>
            </w:r>
          </w:p>
        </w:tc>
        <w:tc>
          <w:tcPr>
            <w:tcW w:w="920" w:type="dxa"/>
            <w:vAlign w:val="top"/>
          </w:tcPr>
          <w:p>
            <w:pPr>
              <w:spacing w:before="0" w:after="0" w:line="408" w:lineRule="exact"/>
              <w:ind w:left="0" w:right="0" w:firstLine="0"/>
              <w:jc w:val="center"/>
            </w:pPr>
            <w:r>
              <w:rPr>
                <w:rFonts w:ascii="Times New Roman" w:hAnsi="Times New Roman"/>
                <w:sz w:val="20"/>
              </w:rPr>
              <w:t xml:space="preserve">45,711 </w:t>
            </w:r>
          </w:p>
        </w:tc>
        <w:tc>
          <w:tcPr>
            <w:tcW w:w="980" w:type="dxa"/>
            <w:vAlign w:val="top"/>
          </w:tcPr>
          <w:p>
            <w:pPr>
              <w:spacing w:before="0" w:after="0" w:line="408" w:lineRule="exact"/>
              <w:ind w:left="0" w:right="0" w:firstLine="0"/>
              <w:jc w:val="center"/>
            </w:pPr>
            <w:r>
              <w:rPr>
                <w:rFonts w:ascii="Times New Roman" w:hAnsi="Times New Roman"/>
                <w:sz w:val="20"/>
              </w:rPr>
              <w:t xml:space="preserve">47,732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2</w:t>
            </w:r>
          </w:p>
        </w:tc>
        <w:tc>
          <w:tcPr>
            <w:tcW w:w="1100" w:type="dxa"/>
            <w:vAlign w:val="top"/>
          </w:tcPr>
          <w:p>
            <w:pPr>
              <w:spacing w:before="0" w:after="0" w:line="408" w:lineRule="exact"/>
              <w:ind w:left="0" w:right="0" w:firstLine="0"/>
              <w:jc w:val="center"/>
            </w:pPr>
            <w:r>
              <w:rPr>
                <w:rFonts w:ascii="Times New Roman" w:hAnsi="Times New Roman"/>
                <w:sz w:val="20"/>
              </w:rPr>
              <w:t xml:space="preserve">35,999 </w:t>
            </w:r>
          </w:p>
        </w:tc>
        <w:tc>
          <w:tcPr>
            <w:tcW w:w="1120" w:type="dxa"/>
            <w:vAlign w:val="top"/>
          </w:tcPr>
          <w:p>
            <w:pPr>
              <w:spacing w:before="0" w:after="0" w:line="408" w:lineRule="exact"/>
              <w:ind w:left="0" w:right="0" w:firstLine="0"/>
              <w:jc w:val="center"/>
            </w:pPr>
            <w:r>
              <w:rPr>
                <w:rFonts w:ascii="Times New Roman" w:hAnsi="Times New Roman"/>
                <w:sz w:val="20"/>
              </w:rPr>
              <w:t xml:space="preserve">36,969 </w:t>
            </w:r>
          </w:p>
        </w:tc>
        <w:tc>
          <w:tcPr>
            <w:tcW w:w="1060" w:type="dxa"/>
            <w:vAlign w:val="top"/>
          </w:tcPr>
          <w:p>
            <w:pPr>
              <w:spacing w:before="0" w:after="0" w:line="408" w:lineRule="exact"/>
              <w:ind w:left="0" w:right="0" w:firstLine="0"/>
              <w:jc w:val="center"/>
            </w:pPr>
            <w:r>
              <w:rPr>
                <w:rFonts w:ascii="Times New Roman" w:hAnsi="Times New Roman"/>
                <w:sz w:val="20"/>
              </w:rPr>
              <w:t xml:space="preserve">37,973 </w:t>
            </w:r>
          </w:p>
        </w:tc>
        <w:tc>
          <w:tcPr>
            <w:tcW w:w="1040" w:type="dxa"/>
            <w:vAlign w:val="top"/>
          </w:tcPr>
          <w:p>
            <w:pPr>
              <w:spacing w:before="0" w:after="0" w:line="408" w:lineRule="exact"/>
              <w:ind w:left="0" w:right="0" w:firstLine="0"/>
              <w:jc w:val="center"/>
            </w:pPr>
            <w:r>
              <w:rPr>
                <w:rFonts w:ascii="Times New Roman" w:hAnsi="Times New Roman"/>
                <w:sz w:val="20"/>
              </w:rPr>
              <w:t xml:space="preserve">39,080 </w:t>
            </w:r>
          </w:p>
        </w:tc>
        <w:tc>
          <w:tcPr>
            <w:tcW w:w="920" w:type="dxa"/>
            <w:vAlign w:val="top"/>
          </w:tcPr>
          <w:p>
            <w:pPr>
              <w:spacing w:before="0" w:after="0" w:line="408" w:lineRule="exact"/>
              <w:ind w:left="0" w:right="0" w:firstLine="0"/>
              <w:jc w:val="center"/>
            </w:pPr>
            <w:r>
              <w:rPr>
                <w:rFonts w:ascii="Times New Roman" w:hAnsi="Times New Roman"/>
                <w:sz w:val="20"/>
              </w:rPr>
              <w:t xml:space="preserve">42,260 </w:t>
            </w:r>
          </w:p>
        </w:tc>
        <w:tc>
          <w:tcPr>
            <w:tcW w:w="940" w:type="dxa"/>
            <w:vAlign w:val="top"/>
          </w:tcPr>
          <w:p>
            <w:pPr>
              <w:spacing w:before="0" w:after="0" w:line="408" w:lineRule="exact"/>
              <w:ind w:left="0" w:right="0" w:firstLine="0"/>
              <w:jc w:val="center"/>
            </w:pPr>
            <w:r>
              <w:rPr>
                <w:rFonts w:ascii="Times New Roman" w:hAnsi="Times New Roman"/>
                <w:sz w:val="20"/>
              </w:rPr>
              <w:t xml:space="preserve">44,303 </w:t>
            </w:r>
          </w:p>
        </w:tc>
        <w:tc>
          <w:tcPr>
            <w:tcW w:w="900" w:type="dxa"/>
            <w:vAlign w:val="top"/>
          </w:tcPr>
          <w:p>
            <w:pPr>
              <w:spacing w:before="0" w:after="0" w:line="408" w:lineRule="exact"/>
              <w:ind w:left="0" w:right="0" w:firstLine="0"/>
              <w:jc w:val="center"/>
            </w:pPr>
            <w:r>
              <w:rPr>
                <w:rFonts w:ascii="Times New Roman" w:hAnsi="Times New Roman"/>
                <w:sz w:val="20"/>
              </w:rPr>
              <w:t xml:space="preserve">42,992 </w:t>
            </w:r>
          </w:p>
        </w:tc>
        <w:tc>
          <w:tcPr>
            <w:tcW w:w="920" w:type="dxa"/>
            <w:vAlign w:val="top"/>
          </w:tcPr>
          <w:p>
            <w:pPr>
              <w:spacing w:before="0" w:after="0" w:line="408" w:lineRule="exact"/>
              <w:ind w:left="0" w:right="0" w:firstLine="0"/>
              <w:jc w:val="center"/>
            </w:pPr>
            <w:r>
              <w:rPr>
                <w:rFonts w:ascii="Times New Roman" w:hAnsi="Times New Roman"/>
                <w:sz w:val="20"/>
              </w:rPr>
              <w:t xml:space="preserve">46,173 </w:t>
            </w:r>
          </w:p>
        </w:tc>
        <w:tc>
          <w:tcPr>
            <w:tcW w:w="980" w:type="dxa"/>
            <w:vAlign w:val="top"/>
          </w:tcPr>
          <w:p>
            <w:pPr>
              <w:spacing w:before="0" w:after="0" w:line="408" w:lineRule="exact"/>
              <w:ind w:left="0" w:right="0" w:firstLine="0"/>
              <w:jc w:val="center"/>
            </w:pPr>
            <w:r>
              <w:rPr>
                <w:rFonts w:ascii="Times New Roman" w:hAnsi="Times New Roman"/>
                <w:sz w:val="20"/>
              </w:rPr>
              <w:t xml:space="preserve">48,216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3</w:t>
            </w:r>
          </w:p>
        </w:tc>
        <w:tc>
          <w:tcPr>
            <w:tcW w:w="1100" w:type="dxa"/>
            <w:vAlign w:val="top"/>
          </w:tcPr>
          <w:p>
            <w:pPr>
              <w:spacing w:before="0" w:after="0" w:line="408" w:lineRule="exact"/>
              <w:ind w:left="0" w:right="0" w:firstLine="0"/>
              <w:jc w:val="center"/>
            </w:pPr>
            <w:r>
              <w:rPr>
                <w:rFonts w:ascii="Times New Roman" w:hAnsi="Times New Roman"/>
                <w:sz w:val="20"/>
              </w:rPr>
              <w:t xml:space="preserve">36,463 </w:t>
            </w:r>
          </w:p>
        </w:tc>
        <w:tc>
          <w:tcPr>
            <w:tcW w:w="1120" w:type="dxa"/>
            <w:vAlign w:val="top"/>
          </w:tcPr>
          <w:p>
            <w:pPr>
              <w:spacing w:before="0" w:after="0" w:line="408" w:lineRule="exact"/>
              <w:ind w:left="0" w:right="0" w:firstLine="0"/>
              <w:jc w:val="center"/>
            </w:pPr>
            <w:r>
              <w:rPr>
                <w:rFonts w:ascii="Times New Roman" w:hAnsi="Times New Roman"/>
                <w:sz w:val="20"/>
              </w:rPr>
              <w:t xml:space="preserve">37,442 </w:t>
            </w:r>
          </w:p>
        </w:tc>
        <w:tc>
          <w:tcPr>
            <w:tcW w:w="1060" w:type="dxa"/>
            <w:vAlign w:val="top"/>
          </w:tcPr>
          <w:p>
            <w:pPr>
              <w:spacing w:before="0" w:after="0" w:line="408" w:lineRule="exact"/>
              <w:ind w:left="0" w:right="0" w:firstLine="0"/>
              <w:jc w:val="center"/>
            </w:pPr>
            <w:r>
              <w:rPr>
                <w:rFonts w:ascii="Times New Roman" w:hAnsi="Times New Roman"/>
                <w:sz w:val="20"/>
              </w:rPr>
              <w:t xml:space="preserve">38,457 </w:t>
            </w:r>
          </w:p>
        </w:tc>
        <w:tc>
          <w:tcPr>
            <w:tcW w:w="1040" w:type="dxa"/>
            <w:vAlign w:val="top"/>
          </w:tcPr>
          <w:p>
            <w:pPr>
              <w:spacing w:before="0" w:after="0" w:line="408" w:lineRule="exact"/>
              <w:ind w:left="0" w:right="0" w:firstLine="0"/>
              <w:jc w:val="center"/>
            </w:pPr>
            <w:r>
              <w:rPr>
                <w:rFonts w:ascii="Times New Roman" w:hAnsi="Times New Roman"/>
                <w:sz w:val="20"/>
              </w:rPr>
              <w:t xml:space="preserve">39,598 </w:t>
            </w:r>
          </w:p>
        </w:tc>
        <w:tc>
          <w:tcPr>
            <w:tcW w:w="920" w:type="dxa"/>
            <w:vAlign w:val="top"/>
          </w:tcPr>
          <w:p>
            <w:pPr>
              <w:spacing w:before="0" w:after="0" w:line="408" w:lineRule="exact"/>
              <w:ind w:left="0" w:right="0" w:firstLine="0"/>
              <w:jc w:val="center"/>
            </w:pPr>
            <w:r>
              <w:rPr>
                <w:rFonts w:ascii="Times New Roman" w:hAnsi="Times New Roman"/>
                <w:sz w:val="20"/>
              </w:rPr>
              <w:t xml:space="preserve">42,773 </w:t>
            </w:r>
          </w:p>
        </w:tc>
        <w:tc>
          <w:tcPr>
            <w:tcW w:w="940" w:type="dxa"/>
            <w:vAlign w:val="top"/>
          </w:tcPr>
          <w:p>
            <w:pPr>
              <w:spacing w:before="0" w:after="0" w:line="408" w:lineRule="exact"/>
              <w:ind w:left="0" w:right="0" w:firstLine="0"/>
              <w:jc w:val="center"/>
            </w:pPr>
            <w:r>
              <w:rPr>
                <w:rFonts w:ascii="Times New Roman" w:hAnsi="Times New Roman"/>
                <w:sz w:val="20"/>
              </w:rPr>
              <w:t xml:space="preserve">44,865 </w:t>
            </w:r>
          </w:p>
        </w:tc>
        <w:tc>
          <w:tcPr>
            <w:tcW w:w="900" w:type="dxa"/>
            <w:vAlign w:val="top"/>
          </w:tcPr>
          <w:p>
            <w:pPr>
              <w:spacing w:before="0" w:after="0" w:line="408" w:lineRule="exact"/>
              <w:ind w:left="0" w:right="0" w:firstLine="0"/>
              <w:jc w:val="center"/>
            </w:pPr>
            <w:r>
              <w:rPr>
                <w:rFonts w:ascii="Times New Roman" w:hAnsi="Times New Roman"/>
                <w:sz w:val="20"/>
              </w:rPr>
              <w:t xml:space="preserve">43,439 </w:t>
            </w:r>
          </w:p>
        </w:tc>
        <w:tc>
          <w:tcPr>
            <w:tcW w:w="920" w:type="dxa"/>
            <w:vAlign w:val="top"/>
          </w:tcPr>
          <w:p>
            <w:pPr>
              <w:spacing w:before="0" w:after="0" w:line="408" w:lineRule="exact"/>
              <w:ind w:left="0" w:right="0" w:firstLine="0"/>
              <w:jc w:val="center"/>
            </w:pPr>
            <w:r>
              <w:rPr>
                <w:rFonts w:ascii="Times New Roman" w:hAnsi="Times New Roman"/>
                <w:sz w:val="20"/>
              </w:rPr>
              <w:t xml:space="preserve">46,611 </w:t>
            </w:r>
          </w:p>
        </w:tc>
        <w:tc>
          <w:tcPr>
            <w:tcW w:w="980" w:type="dxa"/>
            <w:vAlign w:val="top"/>
          </w:tcPr>
          <w:p>
            <w:pPr>
              <w:spacing w:before="0" w:after="0" w:line="408" w:lineRule="exact"/>
              <w:ind w:left="0" w:right="0" w:firstLine="0"/>
              <w:jc w:val="center"/>
            </w:pPr>
            <w:r>
              <w:rPr>
                <w:rFonts w:ascii="Times New Roman" w:hAnsi="Times New Roman"/>
                <w:sz w:val="20"/>
              </w:rPr>
              <w:t xml:space="preserve">48,704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4</w:t>
            </w:r>
          </w:p>
        </w:tc>
        <w:tc>
          <w:tcPr>
            <w:tcW w:w="1100" w:type="dxa"/>
            <w:vAlign w:val="top"/>
          </w:tcPr>
          <w:p>
            <w:pPr>
              <w:spacing w:before="0" w:after="0" w:line="408" w:lineRule="exact"/>
              <w:ind w:left="0" w:right="0" w:firstLine="0"/>
              <w:jc w:val="center"/>
            </w:pPr>
            <w:r>
              <w:rPr>
                <w:rFonts w:ascii="Times New Roman" w:hAnsi="Times New Roman"/>
                <w:sz w:val="20"/>
              </w:rPr>
              <w:t xml:space="preserve">36,917 </w:t>
            </w:r>
          </w:p>
        </w:tc>
        <w:tc>
          <w:tcPr>
            <w:tcW w:w="1120" w:type="dxa"/>
            <w:vAlign w:val="top"/>
          </w:tcPr>
          <w:p>
            <w:pPr>
              <w:spacing w:before="0" w:after="0" w:line="408" w:lineRule="exact"/>
              <w:ind w:left="0" w:right="0" w:firstLine="0"/>
              <w:jc w:val="center"/>
            </w:pPr>
            <w:r>
              <w:rPr>
                <w:rFonts w:ascii="Times New Roman" w:hAnsi="Times New Roman"/>
                <w:sz w:val="20"/>
              </w:rPr>
              <w:t xml:space="preserve">37,939 </w:t>
            </w:r>
          </w:p>
        </w:tc>
        <w:tc>
          <w:tcPr>
            <w:tcW w:w="1060" w:type="dxa"/>
            <w:vAlign w:val="top"/>
          </w:tcPr>
          <w:p>
            <w:pPr>
              <w:spacing w:before="0" w:after="0" w:line="408" w:lineRule="exact"/>
              <w:ind w:left="0" w:right="0" w:firstLine="0"/>
              <w:jc w:val="center"/>
            </w:pPr>
            <w:r>
              <w:rPr>
                <w:rFonts w:ascii="Times New Roman" w:hAnsi="Times New Roman"/>
                <w:sz w:val="20"/>
              </w:rPr>
              <w:t xml:space="preserve">38,961 </w:t>
            </w:r>
          </w:p>
        </w:tc>
        <w:tc>
          <w:tcPr>
            <w:tcW w:w="1040" w:type="dxa"/>
            <w:vAlign w:val="top"/>
          </w:tcPr>
          <w:p>
            <w:pPr>
              <w:spacing w:before="0" w:after="0" w:line="408" w:lineRule="exact"/>
              <w:ind w:left="0" w:right="0" w:firstLine="0"/>
              <w:jc w:val="center"/>
            </w:pPr>
            <w:r>
              <w:rPr>
                <w:rFonts w:ascii="Times New Roman" w:hAnsi="Times New Roman"/>
                <w:sz w:val="20"/>
              </w:rPr>
              <w:t xml:space="preserve">40,142 </w:t>
            </w:r>
          </w:p>
        </w:tc>
        <w:tc>
          <w:tcPr>
            <w:tcW w:w="920" w:type="dxa"/>
            <w:vAlign w:val="top"/>
          </w:tcPr>
          <w:p>
            <w:pPr>
              <w:spacing w:before="0" w:after="0" w:line="408" w:lineRule="exact"/>
              <w:ind w:left="0" w:right="0" w:firstLine="0"/>
              <w:jc w:val="center"/>
            </w:pPr>
            <w:r>
              <w:rPr>
                <w:rFonts w:ascii="Times New Roman" w:hAnsi="Times New Roman"/>
                <w:sz w:val="20"/>
              </w:rPr>
              <w:t xml:space="preserve">43,335 </w:t>
            </w:r>
          </w:p>
        </w:tc>
        <w:tc>
          <w:tcPr>
            <w:tcW w:w="940" w:type="dxa"/>
            <w:vAlign w:val="top"/>
          </w:tcPr>
          <w:p>
            <w:pPr>
              <w:spacing w:before="0" w:after="0" w:line="408" w:lineRule="exact"/>
              <w:ind w:left="0" w:right="0" w:firstLine="0"/>
              <w:jc w:val="center"/>
            </w:pPr>
            <w:r>
              <w:rPr>
                <w:rFonts w:ascii="Times New Roman" w:hAnsi="Times New Roman"/>
                <w:sz w:val="20"/>
              </w:rPr>
              <w:t xml:space="preserve">45,443 </w:t>
            </w:r>
          </w:p>
        </w:tc>
        <w:tc>
          <w:tcPr>
            <w:tcW w:w="900" w:type="dxa"/>
            <w:vAlign w:val="top"/>
          </w:tcPr>
          <w:p>
            <w:pPr>
              <w:spacing w:before="0" w:after="0" w:line="408" w:lineRule="exact"/>
              <w:ind w:left="0" w:right="0" w:firstLine="0"/>
              <w:jc w:val="center"/>
            </w:pPr>
            <w:r>
              <w:rPr>
                <w:rFonts w:ascii="Times New Roman" w:hAnsi="Times New Roman"/>
                <w:sz w:val="20"/>
              </w:rPr>
              <w:t xml:space="preserve">43,906 </w:t>
            </w:r>
          </w:p>
        </w:tc>
        <w:tc>
          <w:tcPr>
            <w:tcW w:w="920" w:type="dxa"/>
            <w:vAlign w:val="top"/>
          </w:tcPr>
          <w:p>
            <w:pPr>
              <w:spacing w:before="0" w:after="0" w:line="408" w:lineRule="exact"/>
              <w:ind w:left="0" w:right="0" w:firstLine="0"/>
              <w:jc w:val="center"/>
            </w:pPr>
            <w:r>
              <w:rPr>
                <w:rFonts w:ascii="Times New Roman" w:hAnsi="Times New Roman"/>
                <w:sz w:val="20"/>
              </w:rPr>
              <w:t xml:space="preserve">47,099 </w:t>
            </w:r>
          </w:p>
        </w:tc>
        <w:tc>
          <w:tcPr>
            <w:tcW w:w="980" w:type="dxa"/>
            <w:vAlign w:val="top"/>
          </w:tcPr>
          <w:p>
            <w:pPr>
              <w:spacing w:before="0" w:after="0" w:line="408" w:lineRule="exact"/>
              <w:ind w:left="0" w:right="0" w:firstLine="0"/>
              <w:jc w:val="center"/>
            </w:pPr>
            <w:r>
              <w:rPr>
                <w:rFonts w:ascii="Times New Roman" w:hAnsi="Times New Roman"/>
                <w:sz w:val="20"/>
              </w:rPr>
              <w:t xml:space="preserve">49,208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5</w:t>
            </w:r>
          </w:p>
        </w:tc>
        <w:tc>
          <w:tcPr>
            <w:tcW w:w="1100" w:type="dxa"/>
            <w:vAlign w:val="top"/>
          </w:tcPr>
          <w:p>
            <w:pPr>
              <w:spacing w:before="0" w:after="0" w:line="408" w:lineRule="exact"/>
              <w:ind w:left="0" w:right="0" w:firstLine="0"/>
              <w:jc w:val="center"/>
            </w:pPr>
            <w:r>
              <w:rPr>
                <w:rFonts w:ascii="Times New Roman" w:hAnsi="Times New Roman"/>
                <w:sz w:val="20"/>
              </w:rPr>
              <w:t xml:space="preserve">37,387 </w:t>
            </w:r>
          </w:p>
        </w:tc>
        <w:tc>
          <w:tcPr>
            <w:tcW w:w="1120" w:type="dxa"/>
            <w:vAlign w:val="top"/>
          </w:tcPr>
          <w:p>
            <w:pPr>
              <w:spacing w:before="0" w:after="0" w:line="408" w:lineRule="exact"/>
              <w:ind w:left="0" w:right="0" w:firstLine="0"/>
              <w:jc w:val="center"/>
            </w:pPr>
            <w:r>
              <w:rPr>
                <w:rFonts w:ascii="Times New Roman" w:hAnsi="Times New Roman"/>
                <w:sz w:val="20"/>
              </w:rPr>
              <w:t xml:space="preserve">38,414 </w:t>
            </w:r>
          </w:p>
        </w:tc>
        <w:tc>
          <w:tcPr>
            <w:tcW w:w="1060" w:type="dxa"/>
            <w:vAlign w:val="top"/>
          </w:tcPr>
          <w:p>
            <w:pPr>
              <w:spacing w:before="0" w:after="0" w:line="408" w:lineRule="exact"/>
              <w:ind w:left="0" w:right="0" w:firstLine="0"/>
              <w:jc w:val="center"/>
            </w:pPr>
            <w:r>
              <w:rPr>
                <w:rFonts w:ascii="Times New Roman" w:hAnsi="Times New Roman"/>
                <w:sz w:val="20"/>
              </w:rPr>
              <w:t xml:space="preserve">39,445 </w:t>
            </w:r>
          </w:p>
        </w:tc>
        <w:tc>
          <w:tcPr>
            <w:tcW w:w="1040" w:type="dxa"/>
            <w:vAlign w:val="top"/>
          </w:tcPr>
          <w:p>
            <w:pPr>
              <w:spacing w:before="0" w:after="0" w:line="408" w:lineRule="exact"/>
              <w:ind w:left="0" w:right="0" w:firstLine="0"/>
              <w:jc w:val="center"/>
            </w:pPr>
            <w:r>
              <w:rPr>
                <w:rFonts w:ascii="Times New Roman" w:hAnsi="Times New Roman"/>
                <w:sz w:val="20"/>
              </w:rPr>
              <w:t xml:space="preserve">40,692 </w:t>
            </w:r>
          </w:p>
        </w:tc>
        <w:tc>
          <w:tcPr>
            <w:tcW w:w="920" w:type="dxa"/>
            <w:vAlign w:val="top"/>
          </w:tcPr>
          <w:p>
            <w:pPr>
              <w:spacing w:before="0" w:after="0" w:line="408" w:lineRule="exact"/>
              <w:ind w:left="0" w:right="0" w:firstLine="0"/>
              <w:jc w:val="center"/>
            </w:pPr>
            <w:r>
              <w:rPr>
                <w:rFonts w:ascii="Times New Roman" w:hAnsi="Times New Roman"/>
                <w:sz w:val="20"/>
              </w:rPr>
              <w:t xml:space="preserve">43,873 </w:t>
            </w:r>
          </w:p>
        </w:tc>
        <w:tc>
          <w:tcPr>
            <w:tcW w:w="940" w:type="dxa"/>
            <w:vAlign w:val="top"/>
          </w:tcPr>
          <w:p>
            <w:pPr>
              <w:spacing w:before="0" w:after="0" w:line="408" w:lineRule="exact"/>
              <w:ind w:left="0" w:right="0" w:firstLine="0"/>
              <w:jc w:val="center"/>
            </w:pPr>
            <w:r>
              <w:rPr>
                <w:rFonts w:ascii="Times New Roman" w:hAnsi="Times New Roman"/>
                <w:sz w:val="20"/>
              </w:rPr>
              <w:t xml:space="preserve">46,023 </w:t>
            </w:r>
          </w:p>
        </w:tc>
        <w:tc>
          <w:tcPr>
            <w:tcW w:w="900" w:type="dxa"/>
            <w:vAlign w:val="top"/>
          </w:tcPr>
          <w:p>
            <w:pPr>
              <w:spacing w:before="0" w:after="0" w:line="408" w:lineRule="exact"/>
              <w:ind w:left="0" w:right="0" w:firstLine="0"/>
              <w:jc w:val="center"/>
            </w:pPr>
            <w:r>
              <w:rPr>
                <w:rFonts w:ascii="Times New Roman" w:hAnsi="Times New Roman"/>
                <w:sz w:val="20"/>
              </w:rPr>
              <w:t xml:space="preserve">44,382 </w:t>
            </w:r>
          </w:p>
        </w:tc>
        <w:tc>
          <w:tcPr>
            <w:tcW w:w="920" w:type="dxa"/>
            <w:vAlign w:val="top"/>
          </w:tcPr>
          <w:p>
            <w:pPr>
              <w:spacing w:before="0" w:after="0" w:line="408" w:lineRule="exact"/>
              <w:ind w:left="0" w:right="0" w:firstLine="0"/>
              <w:jc w:val="center"/>
            </w:pPr>
            <w:r>
              <w:rPr>
                <w:rFonts w:ascii="Times New Roman" w:hAnsi="Times New Roman"/>
                <w:sz w:val="20"/>
              </w:rPr>
              <w:t xml:space="preserve">47,564 </w:t>
            </w:r>
          </w:p>
        </w:tc>
        <w:tc>
          <w:tcPr>
            <w:tcW w:w="980" w:type="dxa"/>
            <w:vAlign w:val="top"/>
          </w:tcPr>
          <w:p>
            <w:pPr>
              <w:spacing w:before="0" w:after="0" w:line="408" w:lineRule="exact"/>
              <w:ind w:left="0" w:right="0" w:firstLine="0"/>
              <w:jc w:val="center"/>
            </w:pPr>
            <w:r>
              <w:rPr>
                <w:rFonts w:ascii="Times New Roman" w:hAnsi="Times New Roman"/>
                <w:sz w:val="20"/>
              </w:rPr>
              <w:t xml:space="preserve">49,714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6</w:t>
            </w:r>
          </w:p>
        </w:tc>
        <w:tc>
          <w:tcPr>
            <w:tcW w:w="1100" w:type="dxa"/>
            <w:vAlign w:val="top"/>
          </w:tcPr>
          <w:p>
            <w:pPr>
              <w:spacing w:before="0" w:after="0" w:line="408" w:lineRule="exact"/>
              <w:ind w:left="0" w:right="0" w:firstLine="0"/>
              <w:jc w:val="center"/>
            </w:pPr>
            <w:r>
              <w:rPr>
                <w:rFonts w:ascii="Times New Roman" w:hAnsi="Times New Roman"/>
                <w:sz w:val="20"/>
              </w:rPr>
              <w:t xml:space="preserve">37,869 </w:t>
            </w:r>
          </w:p>
        </w:tc>
        <w:tc>
          <w:tcPr>
            <w:tcW w:w="1120" w:type="dxa"/>
            <w:vAlign w:val="top"/>
          </w:tcPr>
          <w:p>
            <w:pPr>
              <w:spacing w:before="0" w:after="0" w:line="408" w:lineRule="exact"/>
              <w:ind w:left="0" w:right="0" w:firstLine="0"/>
              <w:jc w:val="center"/>
            </w:pPr>
            <w:r>
              <w:rPr>
                <w:rFonts w:ascii="Times New Roman" w:hAnsi="Times New Roman"/>
                <w:sz w:val="20"/>
              </w:rPr>
              <w:t xml:space="preserve">38,874 </w:t>
            </w:r>
          </w:p>
        </w:tc>
        <w:tc>
          <w:tcPr>
            <w:tcW w:w="1060" w:type="dxa"/>
            <w:vAlign w:val="top"/>
          </w:tcPr>
          <w:p>
            <w:pPr>
              <w:spacing w:before="0" w:after="0" w:line="408" w:lineRule="exact"/>
              <w:ind w:left="0" w:right="0" w:firstLine="0"/>
              <w:jc w:val="center"/>
            </w:pPr>
            <w:r>
              <w:rPr>
                <w:rFonts w:ascii="Times New Roman" w:hAnsi="Times New Roman"/>
                <w:sz w:val="20"/>
              </w:rPr>
              <w:t xml:space="preserve">39,941 </w:t>
            </w:r>
          </w:p>
        </w:tc>
        <w:tc>
          <w:tcPr>
            <w:tcW w:w="1040" w:type="dxa"/>
            <w:vAlign w:val="top"/>
          </w:tcPr>
          <w:p>
            <w:pPr>
              <w:spacing w:before="0" w:after="0" w:line="408" w:lineRule="exact"/>
              <w:ind w:left="0" w:right="0" w:firstLine="0"/>
              <w:jc w:val="center"/>
            </w:pPr>
            <w:r>
              <w:rPr>
                <w:rFonts w:ascii="Times New Roman" w:hAnsi="Times New Roman"/>
                <w:sz w:val="20"/>
              </w:rPr>
              <w:t xml:space="preserve">41,249 </w:t>
            </w:r>
          </w:p>
        </w:tc>
        <w:tc>
          <w:tcPr>
            <w:tcW w:w="920" w:type="dxa"/>
            <w:vAlign w:val="top"/>
          </w:tcPr>
          <w:p>
            <w:pPr>
              <w:spacing w:before="0" w:after="0" w:line="408" w:lineRule="exact"/>
              <w:ind w:left="0" w:right="0" w:firstLine="0"/>
              <w:jc w:val="center"/>
            </w:pPr>
            <w:r>
              <w:rPr>
                <w:rFonts w:ascii="Times New Roman" w:hAnsi="Times New Roman"/>
                <w:sz w:val="20"/>
              </w:rPr>
              <w:t xml:space="preserve">44,416 </w:t>
            </w:r>
          </w:p>
        </w:tc>
        <w:tc>
          <w:tcPr>
            <w:tcW w:w="940" w:type="dxa"/>
            <w:vAlign w:val="top"/>
          </w:tcPr>
          <w:p>
            <w:pPr>
              <w:spacing w:before="0" w:after="0" w:line="408" w:lineRule="exact"/>
              <w:ind w:left="0" w:right="0" w:firstLine="0"/>
              <w:jc w:val="center"/>
            </w:pPr>
            <w:r>
              <w:rPr>
                <w:rFonts w:ascii="Times New Roman" w:hAnsi="Times New Roman"/>
                <w:sz w:val="20"/>
              </w:rPr>
              <w:t xml:space="preserve">46,577 </w:t>
            </w:r>
          </w:p>
        </w:tc>
        <w:tc>
          <w:tcPr>
            <w:tcW w:w="900" w:type="dxa"/>
            <w:vAlign w:val="top"/>
          </w:tcPr>
          <w:p>
            <w:pPr>
              <w:spacing w:before="0" w:after="0" w:line="408" w:lineRule="exact"/>
              <w:ind w:left="0" w:right="0" w:firstLine="0"/>
              <w:jc w:val="center"/>
            </w:pPr>
            <w:r>
              <w:rPr>
                <w:rFonts w:ascii="Times New Roman" w:hAnsi="Times New Roman"/>
                <w:sz w:val="20"/>
              </w:rPr>
              <w:t xml:space="preserve">44,869 </w:t>
            </w:r>
          </w:p>
        </w:tc>
        <w:tc>
          <w:tcPr>
            <w:tcW w:w="920" w:type="dxa"/>
            <w:vAlign w:val="top"/>
          </w:tcPr>
          <w:p>
            <w:pPr>
              <w:spacing w:before="0" w:after="0" w:line="408" w:lineRule="exact"/>
              <w:ind w:left="0" w:right="0" w:firstLine="0"/>
              <w:jc w:val="center"/>
            </w:pPr>
            <w:r>
              <w:rPr>
                <w:rFonts w:ascii="Times New Roman" w:hAnsi="Times New Roman"/>
                <w:sz w:val="20"/>
              </w:rPr>
              <w:t xml:space="preserve">48,035 </w:t>
            </w:r>
          </w:p>
        </w:tc>
        <w:tc>
          <w:tcPr>
            <w:tcW w:w="980" w:type="dxa"/>
            <w:vAlign w:val="top"/>
          </w:tcPr>
          <w:p>
            <w:pPr>
              <w:spacing w:before="0" w:after="0" w:line="408" w:lineRule="exact"/>
              <w:ind w:left="0" w:right="0" w:firstLine="0"/>
              <w:jc w:val="center"/>
            </w:pPr>
            <w:r>
              <w:rPr>
                <w:rFonts w:ascii="Times New Roman" w:hAnsi="Times New Roman"/>
                <w:sz w:val="20"/>
              </w:rPr>
              <w:t xml:space="preserve">50,195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7</w:t>
            </w:r>
          </w:p>
        </w:tc>
        <w:tc>
          <w:tcPr>
            <w:tcW w:w="1100" w:type="dxa"/>
            <w:vAlign w:val="top"/>
          </w:tcPr>
          <w:p>
            <w:pPr>
              <w:spacing w:before="0" w:after="0" w:line="408" w:lineRule="exact"/>
              <w:ind w:left="0" w:right="0" w:firstLine="0"/>
              <w:jc w:val="center"/>
            </w:pPr>
            <w:r>
              <w:rPr>
                <w:rFonts w:ascii="Times New Roman" w:hAnsi="Times New Roman"/>
                <w:sz w:val="20"/>
              </w:rPr>
              <w:t xml:space="preserve">38,718 </w:t>
            </w:r>
          </w:p>
        </w:tc>
        <w:tc>
          <w:tcPr>
            <w:tcW w:w="1120" w:type="dxa"/>
            <w:vAlign w:val="top"/>
          </w:tcPr>
          <w:p>
            <w:pPr>
              <w:spacing w:before="0" w:after="0" w:line="408" w:lineRule="exact"/>
              <w:ind w:left="0" w:right="0" w:firstLine="0"/>
              <w:jc w:val="center"/>
            </w:pPr>
            <w:r>
              <w:rPr>
                <w:rFonts w:ascii="Times New Roman" w:hAnsi="Times New Roman"/>
                <w:sz w:val="20"/>
              </w:rPr>
              <w:t xml:space="preserve">39,737 </w:t>
            </w:r>
          </w:p>
        </w:tc>
        <w:tc>
          <w:tcPr>
            <w:tcW w:w="1060" w:type="dxa"/>
            <w:vAlign w:val="top"/>
          </w:tcPr>
          <w:p>
            <w:pPr>
              <w:spacing w:before="0" w:after="0" w:line="408" w:lineRule="exact"/>
              <w:ind w:left="0" w:right="0" w:firstLine="0"/>
              <w:jc w:val="center"/>
            </w:pPr>
            <w:r>
              <w:rPr>
                <w:rFonts w:ascii="Times New Roman" w:hAnsi="Times New Roman"/>
                <w:sz w:val="20"/>
              </w:rPr>
              <w:t xml:space="preserve">40,818 </w:t>
            </w:r>
          </w:p>
        </w:tc>
        <w:tc>
          <w:tcPr>
            <w:tcW w:w="1040" w:type="dxa"/>
            <w:vAlign w:val="top"/>
          </w:tcPr>
          <w:p>
            <w:pPr>
              <w:spacing w:before="0" w:after="0" w:line="408" w:lineRule="exact"/>
              <w:ind w:left="0" w:right="0" w:firstLine="0"/>
              <w:jc w:val="center"/>
            </w:pPr>
            <w:r>
              <w:rPr>
                <w:rFonts w:ascii="Times New Roman" w:hAnsi="Times New Roman"/>
                <w:sz w:val="20"/>
              </w:rPr>
              <w:t xml:space="preserve">42,198 </w:t>
            </w:r>
          </w:p>
        </w:tc>
        <w:tc>
          <w:tcPr>
            <w:tcW w:w="920" w:type="dxa"/>
            <w:vAlign w:val="top"/>
          </w:tcPr>
          <w:p>
            <w:pPr>
              <w:spacing w:before="0" w:after="0" w:line="408" w:lineRule="exact"/>
              <w:ind w:left="0" w:right="0" w:firstLine="0"/>
              <w:jc w:val="center"/>
            </w:pPr>
            <w:r>
              <w:rPr>
                <w:rFonts w:ascii="Times New Roman" w:hAnsi="Times New Roman"/>
                <w:sz w:val="20"/>
              </w:rPr>
              <w:t xml:space="preserve">45,411 </w:t>
            </w:r>
          </w:p>
        </w:tc>
        <w:tc>
          <w:tcPr>
            <w:tcW w:w="940" w:type="dxa"/>
            <w:vAlign w:val="top"/>
          </w:tcPr>
          <w:p>
            <w:pPr>
              <w:spacing w:before="0" w:after="0" w:line="408" w:lineRule="exact"/>
              <w:ind w:left="0" w:right="0" w:firstLine="0"/>
              <w:jc w:val="center"/>
            </w:pPr>
            <w:r>
              <w:rPr>
                <w:rFonts w:ascii="Times New Roman" w:hAnsi="Times New Roman"/>
                <w:sz w:val="20"/>
              </w:rPr>
              <w:t xml:space="preserve">47,632 </w:t>
            </w:r>
          </w:p>
        </w:tc>
        <w:tc>
          <w:tcPr>
            <w:tcW w:w="900" w:type="dxa"/>
            <w:vAlign w:val="top"/>
          </w:tcPr>
          <w:p>
            <w:pPr>
              <w:spacing w:before="0" w:after="0" w:line="408" w:lineRule="exact"/>
              <w:ind w:left="0" w:right="0" w:firstLine="0"/>
              <w:jc w:val="center"/>
            </w:pPr>
            <w:r>
              <w:rPr>
                <w:rFonts w:ascii="Times New Roman" w:hAnsi="Times New Roman"/>
                <w:sz w:val="20"/>
              </w:rPr>
              <w:t xml:space="preserve">45,781 </w:t>
            </w:r>
          </w:p>
        </w:tc>
        <w:tc>
          <w:tcPr>
            <w:tcW w:w="920" w:type="dxa"/>
            <w:vAlign w:val="top"/>
          </w:tcPr>
          <w:p>
            <w:pPr>
              <w:spacing w:before="0" w:after="0" w:line="408" w:lineRule="exact"/>
              <w:ind w:left="0" w:right="0" w:firstLine="0"/>
              <w:jc w:val="center"/>
            </w:pPr>
            <w:r>
              <w:rPr>
                <w:rFonts w:ascii="Times New Roman" w:hAnsi="Times New Roman"/>
                <w:sz w:val="20"/>
              </w:rPr>
              <w:t xml:space="preserve">48,993 </w:t>
            </w:r>
          </w:p>
        </w:tc>
        <w:tc>
          <w:tcPr>
            <w:tcW w:w="980" w:type="dxa"/>
            <w:vAlign w:val="top"/>
          </w:tcPr>
          <w:p>
            <w:pPr>
              <w:spacing w:before="0" w:after="0" w:line="408" w:lineRule="exact"/>
              <w:ind w:left="0" w:right="0" w:firstLine="0"/>
              <w:jc w:val="center"/>
            </w:pPr>
            <w:r>
              <w:rPr>
                <w:rFonts w:ascii="Times New Roman" w:hAnsi="Times New Roman"/>
                <w:sz w:val="20"/>
              </w:rPr>
              <w:t xml:space="preserve">51,215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8</w:t>
            </w:r>
          </w:p>
        </w:tc>
        <w:tc>
          <w:tcPr>
            <w:tcW w:w="1100" w:type="dxa"/>
            <w:vAlign w:val="top"/>
          </w:tcPr>
          <w:p>
            <w:pPr>
              <w:spacing w:before="0" w:after="0" w:line="408" w:lineRule="exact"/>
              <w:ind w:left="0" w:right="0" w:firstLine="0"/>
              <w:jc w:val="center"/>
            </w:pPr>
            <w:r>
              <w:rPr>
                <w:rFonts w:ascii="Times New Roman" w:hAnsi="Times New Roman"/>
                <w:sz w:val="20"/>
              </w:rPr>
              <w:t xml:space="preserve">39,959 </w:t>
            </w:r>
          </w:p>
        </w:tc>
        <w:tc>
          <w:tcPr>
            <w:tcW w:w="1120" w:type="dxa"/>
            <w:vAlign w:val="top"/>
          </w:tcPr>
          <w:p>
            <w:pPr>
              <w:spacing w:before="0" w:after="0" w:line="408" w:lineRule="exact"/>
              <w:ind w:left="0" w:right="0" w:firstLine="0"/>
              <w:jc w:val="center"/>
            </w:pPr>
            <w:r>
              <w:rPr>
                <w:rFonts w:ascii="Times New Roman" w:hAnsi="Times New Roman"/>
                <w:sz w:val="20"/>
              </w:rPr>
              <w:t xml:space="preserve">41,034 </w:t>
            </w:r>
          </w:p>
        </w:tc>
        <w:tc>
          <w:tcPr>
            <w:tcW w:w="1060" w:type="dxa"/>
            <w:vAlign w:val="top"/>
          </w:tcPr>
          <w:p>
            <w:pPr>
              <w:spacing w:before="0" w:after="0" w:line="408" w:lineRule="exact"/>
              <w:ind w:left="0" w:right="0" w:firstLine="0"/>
              <w:jc w:val="center"/>
            </w:pPr>
            <w:r>
              <w:rPr>
                <w:rFonts w:ascii="Times New Roman" w:hAnsi="Times New Roman"/>
                <w:sz w:val="20"/>
              </w:rPr>
              <w:t xml:space="preserve">42,141 </w:t>
            </w:r>
          </w:p>
        </w:tc>
        <w:tc>
          <w:tcPr>
            <w:tcW w:w="1040" w:type="dxa"/>
            <w:vAlign w:val="top"/>
          </w:tcPr>
          <w:p>
            <w:pPr>
              <w:spacing w:before="0" w:after="0" w:line="408" w:lineRule="exact"/>
              <w:ind w:left="0" w:right="0" w:firstLine="0"/>
              <w:jc w:val="center"/>
            </w:pPr>
            <w:r>
              <w:rPr>
                <w:rFonts w:ascii="Times New Roman" w:hAnsi="Times New Roman"/>
                <w:sz w:val="20"/>
              </w:rPr>
              <w:t xml:space="preserve">43,635 </w:t>
            </w:r>
          </w:p>
        </w:tc>
        <w:tc>
          <w:tcPr>
            <w:tcW w:w="920" w:type="dxa"/>
            <w:vAlign w:val="top"/>
          </w:tcPr>
          <w:p>
            <w:pPr>
              <w:spacing w:before="0" w:after="0" w:line="408" w:lineRule="exact"/>
              <w:ind w:left="0" w:right="0" w:firstLine="0"/>
              <w:jc w:val="center"/>
            </w:pPr>
            <w:r>
              <w:rPr>
                <w:rFonts w:ascii="Times New Roman" w:hAnsi="Times New Roman"/>
                <w:sz w:val="20"/>
              </w:rPr>
              <w:t xml:space="preserve">46,891 </w:t>
            </w:r>
          </w:p>
        </w:tc>
        <w:tc>
          <w:tcPr>
            <w:tcW w:w="940" w:type="dxa"/>
            <w:vAlign w:val="top"/>
          </w:tcPr>
          <w:p>
            <w:pPr>
              <w:spacing w:before="0" w:after="0" w:line="408" w:lineRule="exact"/>
              <w:ind w:left="0" w:right="0" w:firstLine="0"/>
              <w:jc w:val="center"/>
            </w:pPr>
            <w:r>
              <w:rPr>
                <w:rFonts w:ascii="Times New Roman" w:hAnsi="Times New Roman"/>
                <w:sz w:val="20"/>
              </w:rPr>
              <w:t xml:space="preserve">49,194 </w:t>
            </w:r>
          </w:p>
        </w:tc>
        <w:tc>
          <w:tcPr>
            <w:tcW w:w="900" w:type="dxa"/>
            <w:vAlign w:val="top"/>
          </w:tcPr>
          <w:p>
            <w:pPr>
              <w:spacing w:before="0" w:after="0" w:line="408" w:lineRule="exact"/>
              <w:ind w:left="0" w:right="0" w:firstLine="0"/>
              <w:jc w:val="center"/>
            </w:pPr>
            <w:r>
              <w:rPr>
                <w:rFonts w:ascii="Times New Roman" w:hAnsi="Times New Roman"/>
                <w:sz w:val="20"/>
              </w:rPr>
              <w:t xml:space="preserve">47,217 </w:t>
            </w:r>
          </w:p>
        </w:tc>
        <w:tc>
          <w:tcPr>
            <w:tcW w:w="920" w:type="dxa"/>
            <w:vAlign w:val="top"/>
          </w:tcPr>
          <w:p>
            <w:pPr>
              <w:spacing w:before="0" w:after="0" w:line="408" w:lineRule="exact"/>
              <w:ind w:left="0" w:right="0" w:firstLine="0"/>
              <w:jc w:val="center"/>
            </w:pPr>
            <w:r>
              <w:rPr>
                <w:rFonts w:ascii="Times New Roman" w:hAnsi="Times New Roman"/>
                <w:sz w:val="20"/>
              </w:rPr>
              <w:t xml:space="preserve">50,474 </w:t>
            </w:r>
          </w:p>
        </w:tc>
        <w:tc>
          <w:tcPr>
            <w:tcW w:w="980" w:type="dxa"/>
            <w:vAlign w:val="top"/>
          </w:tcPr>
          <w:p>
            <w:pPr>
              <w:spacing w:before="0" w:after="0" w:line="408" w:lineRule="exact"/>
              <w:ind w:left="0" w:right="0" w:firstLine="0"/>
              <w:jc w:val="center"/>
            </w:pPr>
            <w:r>
              <w:rPr>
                <w:rFonts w:ascii="Times New Roman" w:hAnsi="Times New Roman"/>
                <w:sz w:val="20"/>
              </w:rPr>
              <w:t xml:space="preserve">52,776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9</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r>
              <w:rPr>
                <w:rFonts w:ascii="Times New Roman" w:hAnsi="Times New Roman"/>
                <w:sz w:val="20"/>
              </w:rPr>
              <w:t xml:space="preserve">42,378 </w:t>
            </w:r>
          </w:p>
        </w:tc>
        <w:tc>
          <w:tcPr>
            <w:tcW w:w="1060" w:type="dxa"/>
            <w:vAlign w:val="top"/>
          </w:tcPr>
          <w:p>
            <w:pPr>
              <w:spacing w:before="0" w:after="0" w:line="408" w:lineRule="exact"/>
              <w:ind w:left="0" w:right="0" w:firstLine="0"/>
              <w:jc w:val="center"/>
            </w:pPr>
            <w:r>
              <w:rPr>
                <w:rFonts w:ascii="Times New Roman" w:hAnsi="Times New Roman"/>
                <w:sz w:val="20"/>
              </w:rPr>
              <w:t xml:space="preserve">43,539 </w:t>
            </w:r>
          </w:p>
        </w:tc>
        <w:tc>
          <w:tcPr>
            <w:tcW w:w="1040" w:type="dxa"/>
            <w:vAlign w:val="top"/>
          </w:tcPr>
          <w:p>
            <w:pPr>
              <w:spacing w:before="0" w:after="0" w:line="408" w:lineRule="exact"/>
              <w:ind w:left="0" w:right="0" w:firstLine="0"/>
              <w:jc w:val="center"/>
            </w:pPr>
            <w:r>
              <w:rPr>
                <w:rFonts w:ascii="Times New Roman" w:hAnsi="Times New Roman"/>
                <w:sz w:val="20"/>
              </w:rPr>
              <w:t xml:space="preserve">45,087 </w:t>
            </w:r>
          </w:p>
        </w:tc>
        <w:tc>
          <w:tcPr>
            <w:tcW w:w="920" w:type="dxa"/>
            <w:vAlign w:val="top"/>
          </w:tcPr>
          <w:p>
            <w:pPr>
              <w:spacing w:before="0" w:after="0" w:line="408" w:lineRule="exact"/>
              <w:ind w:left="0" w:right="0" w:firstLine="0"/>
              <w:jc w:val="center"/>
            </w:pPr>
            <w:r>
              <w:rPr>
                <w:rFonts w:ascii="Times New Roman" w:hAnsi="Times New Roman"/>
                <w:sz w:val="20"/>
              </w:rPr>
              <w:t xml:space="preserve">48,420 </w:t>
            </w:r>
          </w:p>
        </w:tc>
        <w:tc>
          <w:tcPr>
            <w:tcW w:w="940" w:type="dxa"/>
            <w:vAlign w:val="top"/>
          </w:tcPr>
          <w:p>
            <w:pPr>
              <w:spacing w:before="0" w:after="0" w:line="408" w:lineRule="exact"/>
              <w:ind w:left="0" w:right="0" w:firstLine="0"/>
              <w:jc w:val="center"/>
            </w:pPr>
            <w:r>
              <w:rPr>
                <w:rFonts w:ascii="Times New Roman" w:hAnsi="Times New Roman"/>
                <w:sz w:val="20"/>
              </w:rPr>
              <w:t xml:space="preserve">50,801 </w:t>
            </w:r>
          </w:p>
        </w:tc>
        <w:tc>
          <w:tcPr>
            <w:tcW w:w="900" w:type="dxa"/>
            <w:vAlign w:val="top"/>
          </w:tcPr>
          <w:p>
            <w:pPr>
              <w:spacing w:before="0" w:after="0" w:line="408" w:lineRule="exact"/>
              <w:ind w:left="0" w:right="0" w:firstLine="0"/>
              <w:jc w:val="center"/>
            </w:pPr>
            <w:r>
              <w:rPr>
                <w:rFonts w:ascii="Times New Roman" w:hAnsi="Times New Roman"/>
                <w:sz w:val="20"/>
              </w:rPr>
              <w:t xml:space="preserve">48,668 </w:t>
            </w:r>
          </w:p>
        </w:tc>
        <w:tc>
          <w:tcPr>
            <w:tcW w:w="920" w:type="dxa"/>
            <w:vAlign w:val="top"/>
          </w:tcPr>
          <w:p>
            <w:pPr>
              <w:spacing w:before="0" w:after="0" w:line="408" w:lineRule="exact"/>
              <w:ind w:left="0" w:right="0" w:firstLine="0"/>
              <w:jc w:val="center"/>
            </w:pPr>
            <w:r>
              <w:rPr>
                <w:rFonts w:ascii="Times New Roman" w:hAnsi="Times New Roman"/>
                <w:sz w:val="20"/>
              </w:rPr>
              <w:t xml:space="preserve">52,003 </w:t>
            </w:r>
          </w:p>
        </w:tc>
        <w:tc>
          <w:tcPr>
            <w:tcW w:w="980" w:type="dxa"/>
            <w:vAlign w:val="top"/>
          </w:tcPr>
          <w:p>
            <w:pPr>
              <w:spacing w:before="0" w:after="0" w:line="408" w:lineRule="exact"/>
              <w:ind w:left="0" w:right="0" w:firstLine="0"/>
              <w:jc w:val="center"/>
            </w:pPr>
            <w:r>
              <w:rPr>
                <w:rFonts w:ascii="Times New Roman" w:hAnsi="Times New Roman"/>
                <w:sz w:val="20"/>
              </w:rPr>
              <w:t xml:space="preserve">54,384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10</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20"/>
              </w:rPr>
              <w:t xml:space="preserve">44,954 </w:t>
            </w:r>
          </w:p>
        </w:tc>
        <w:tc>
          <w:tcPr>
            <w:tcW w:w="1040" w:type="dxa"/>
            <w:vAlign w:val="top"/>
          </w:tcPr>
          <w:p>
            <w:pPr>
              <w:spacing w:before="0" w:after="0" w:line="408" w:lineRule="exact"/>
              <w:ind w:left="0" w:right="0" w:firstLine="0"/>
              <w:jc w:val="center"/>
            </w:pPr>
            <w:r>
              <w:rPr>
                <w:rFonts w:ascii="Times New Roman" w:hAnsi="Times New Roman"/>
                <w:sz w:val="20"/>
              </w:rPr>
              <w:t xml:space="preserve">46,614 </w:t>
            </w:r>
          </w:p>
        </w:tc>
        <w:tc>
          <w:tcPr>
            <w:tcW w:w="920" w:type="dxa"/>
            <w:vAlign w:val="top"/>
          </w:tcPr>
          <w:p>
            <w:pPr>
              <w:spacing w:before="0" w:after="0" w:line="408" w:lineRule="exact"/>
              <w:ind w:left="0" w:right="0" w:firstLine="0"/>
              <w:jc w:val="center"/>
            </w:pPr>
            <w:r>
              <w:rPr>
                <w:rFonts w:ascii="Times New Roman" w:hAnsi="Times New Roman"/>
                <w:sz w:val="20"/>
              </w:rPr>
              <w:t xml:space="preserve">49,991 </w:t>
            </w:r>
          </w:p>
        </w:tc>
        <w:tc>
          <w:tcPr>
            <w:tcW w:w="940" w:type="dxa"/>
            <w:vAlign w:val="top"/>
          </w:tcPr>
          <w:p>
            <w:pPr>
              <w:spacing w:before="0" w:after="0" w:line="408" w:lineRule="exact"/>
              <w:ind w:left="0" w:right="0" w:firstLine="0"/>
              <w:jc w:val="center"/>
            </w:pPr>
            <w:r>
              <w:rPr>
                <w:rFonts w:ascii="Times New Roman" w:hAnsi="Times New Roman"/>
                <w:sz w:val="20"/>
              </w:rPr>
              <w:t xml:space="preserve">52,451 </w:t>
            </w:r>
          </w:p>
        </w:tc>
        <w:tc>
          <w:tcPr>
            <w:tcW w:w="900" w:type="dxa"/>
            <w:vAlign w:val="top"/>
          </w:tcPr>
          <w:p>
            <w:pPr>
              <w:spacing w:before="0" w:after="0" w:line="408" w:lineRule="exact"/>
              <w:ind w:left="0" w:right="0" w:firstLine="0"/>
              <w:jc w:val="center"/>
            </w:pPr>
            <w:r>
              <w:rPr>
                <w:rFonts w:ascii="Times New Roman" w:hAnsi="Times New Roman"/>
                <w:sz w:val="20"/>
              </w:rPr>
              <w:t xml:space="preserve">50,197 </w:t>
            </w:r>
          </w:p>
        </w:tc>
        <w:tc>
          <w:tcPr>
            <w:tcW w:w="920" w:type="dxa"/>
            <w:vAlign w:val="top"/>
          </w:tcPr>
          <w:p>
            <w:pPr>
              <w:spacing w:before="0" w:after="0" w:line="408" w:lineRule="exact"/>
              <w:ind w:left="0" w:right="0" w:firstLine="0"/>
              <w:jc w:val="center"/>
            </w:pPr>
            <w:r>
              <w:rPr>
                <w:rFonts w:ascii="Times New Roman" w:hAnsi="Times New Roman"/>
                <w:sz w:val="20"/>
              </w:rPr>
              <w:t xml:space="preserve">53,574 </w:t>
            </w:r>
          </w:p>
        </w:tc>
        <w:tc>
          <w:tcPr>
            <w:tcW w:w="980" w:type="dxa"/>
            <w:vAlign w:val="top"/>
          </w:tcPr>
          <w:p>
            <w:pPr>
              <w:spacing w:before="0" w:after="0" w:line="408" w:lineRule="exact"/>
              <w:ind w:left="0" w:right="0" w:firstLine="0"/>
              <w:jc w:val="center"/>
            </w:pPr>
            <w:r>
              <w:rPr>
                <w:rFonts w:ascii="Times New Roman" w:hAnsi="Times New Roman"/>
                <w:sz w:val="20"/>
              </w:rPr>
              <w:t xml:space="preserve">56,033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11</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r>
              <w:rPr>
                <w:rFonts w:ascii="Times New Roman" w:hAnsi="Times New Roman"/>
                <w:sz w:val="20"/>
              </w:rPr>
              <w:t xml:space="preserve">48,186 </w:t>
            </w:r>
          </w:p>
        </w:tc>
        <w:tc>
          <w:tcPr>
            <w:tcW w:w="920" w:type="dxa"/>
            <w:vAlign w:val="top"/>
          </w:tcPr>
          <w:p>
            <w:pPr>
              <w:spacing w:before="0" w:after="0" w:line="408" w:lineRule="exact"/>
              <w:ind w:left="0" w:right="0" w:firstLine="0"/>
              <w:jc w:val="center"/>
            </w:pPr>
            <w:r>
              <w:rPr>
                <w:rFonts w:ascii="Times New Roman" w:hAnsi="Times New Roman"/>
                <w:sz w:val="20"/>
              </w:rPr>
              <w:t xml:space="preserve">51,636 </w:t>
            </w:r>
          </w:p>
        </w:tc>
        <w:tc>
          <w:tcPr>
            <w:tcW w:w="940" w:type="dxa"/>
            <w:vAlign w:val="top"/>
          </w:tcPr>
          <w:p>
            <w:pPr>
              <w:spacing w:before="0" w:after="0" w:line="408" w:lineRule="exact"/>
              <w:ind w:left="0" w:right="0" w:firstLine="0"/>
              <w:jc w:val="center"/>
            </w:pPr>
            <w:r>
              <w:rPr>
                <w:rFonts w:ascii="Times New Roman" w:hAnsi="Times New Roman"/>
                <w:sz w:val="20"/>
              </w:rPr>
              <w:t xml:space="preserve">54,146 </w:t>
            </w:r>
          </w:p>
        </w:tc>
        <w:tc>
          <w:tcPr>
            <w:tcW w:w="900" w:type="dxa"/>
            <w:vAlign w:val="top"/>
          </w:tcPr>
          <w:p>
            <w:pPr>
              <w:spacing w:before="0" w:after="0" w:line="408" w:lineRule="exact"/>
              <w:ind w:left="0" w:right="0" w:firstLine="0"/>
              <w:jc w:val="center"/>
            </w:pPr>
            <w:r>
              <w:rPr>
                <w:rFonts w:ascii="Times New Roman" w:hAnsi="Times New Roman"/>
                <w:sz w:val="20"/>
              </w:rPr>
              <w:t xml:space="preserve">51,768 </w:t>
            </w:r>
          </w:p>
        </w:tc>
        <w:tc>
          <w:tcPr>
            <w:tcW w:w="920" w:type="dxa"/>
            <w:vAlign w:val="top"/>
          </w:tcPr>
          <w:p>
            <w:pPr>
              <w:spacing w:before="0" w:after="0" w:line="408" w:lineRule="exact"/>
              <w:ind w:left="0" w:right="0" w:firstLine="0"/>
              <w:jc w:val="center"/>
            </w:pPr>
            <w:r>
              <w:rPr>
                <w:rFonts w:ascii="Times New Roman" w:hAnsi="Times New Roman"/>
                <w:sz w:val="20"/>
              </w:rPr>
              <w:t xml:space="preserve">55,219 </w:t>
            </w:r>
          </w:p>
        </w:tc>
        <w:tc>
          <w:tcPr>
            <w:tcW w:w="980" w:type="dxa"/>
            <w:vAlign w:val="top"/>
          </w:tcPr>
          <w:p>
            <w:pPr>
              <w:spacing w:before="0" w:after="0" w:line="408" w:lineRule="exact"/>
              <w:ind w:left="0" w:right="0" w:firstLine="0"/>
              <w:jc w:val="center"/>
            </w:pPr>
            <w:r>
              <w:rPr>
                <w:rFonts w:ascii="Times New Roman" w:hAnsi="Times New Roman"/>
                <w:sz w:val="20"/>
              </w:rPr>
              <w:t xml:space="preserve">57,728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12</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r>
              <w:rPr>
                <w:rFonts w:ascii="Times New Roman" w:hAnsi="Times New Roman"/>
                <w:sz w:val="20"/>
              </w:rPr>
              <w:t xml:space="preserve">49,707 </w:t>
            </w:r>
          </w:p>
        </w:tc>
        <w:tc>
          <w:tcPr>
            <w:tcW w:w="920" w:type="dxa"/>
            <w:vAlign w:val="top"/>
          </w:tcPr>
          <w:p>
            <w:pPr>
              <w:spacing w:before="0" w:after="0" w:line="408" w:lineRule="exact"/>
              <w:ind w:left="0" w:right="0" w:firstLine="0"/>
              <w:jc w:val="center"/>
            </w:pPr>
            <w:r>
              <w:rPr>
                <w:rFonts w:ascii="Times New Roman" w:hAnsi="Times New Roman"/>
                <w:sz w:val="20"/>
              </w:rPr>
              <w:t xml:space="preserve">53,325 </w:t>
            </w:r>
          </w:p>
        </w:tc>
        <w:tc>
          <w:tcPr>
            <w:tcW w:w="940" w:type="dxa"/>
            <w:vAlign w:val="top"/>
          </w:tcPr>
          <w:p>
            <w:pPr>
              <w:spacing w:before="0" w:after="0" w:line="408" w:lineRule="exact"/>
              <w:ind w:left="0" w:right="0" w:firstLine="0"/>
              <w:jc w:val="center"/>
            </w:pPr>
            <w:r>
              <w:rPr>
                <w:rFonts w:ascii="Times New Roman" w:hAnsi="Times New Roman"/>
                <w:sz w:val="20"/>
              </w:rPr>
              <w:t xml:space="preserve">55,910 </w:t>
            </w:r>
          </w:p>
        </w:tc>
        <w:tc>
          <w:tcPr>
            <w:tcW w:w="900" w:type="dxa"/>
            <w:vAlign w:val="top"/>
          </w:tcPr>
          <w:p>
            <w:pPr>
              <w:spacing w:before="0" w:after="0" w:line="408" w:lineRule="exact"/>
              <w:ind w:left="0" w:right="0" w:firstLine="0"/>
              <w:jc w:val="center"/>
            </w:pPr>
            <w:r>
              <w:rPr>
                <w:rFonts w:ascii="Times New Roman" w:hAnsi="Times New Roman"/>
                <w:sz w:val="20"/>
              </w:rPr>
              <w:t xml:space="preserve">53,401 </w:t>
            </w:r>
          </w:p>
        </w:tc>
        <w:tc>
          <w:tcPr>
            <w:tcW w:w="920" w:type="dxa"/>
            <w:vAlign w:val="top"/>
          </w:tcPr>
          <w:p>
            <w:pPr>
              <w:spacing w:before="0" w:after="0" w:line="408" w:lineRule="exact"/>
              <w:ind w:left="0" w:right="0" w:firstLine="0"/>
              <w:jc w:val="center"/>
            </w:pPr>
            <w:r>
              <w:rPr>
                <w:rFonts w:ascii="Times New Roman" w:hAnsi="Times New Roman"/>
                <w:sz w:val="20"/>
              </w:rPr>
              <w:t xml:space="preserve">56,908 </w:t>
            </w:r>
          </w:p>
        </w:tc>
        <w:tc>
          <w:tcPr>
            <w:tcW w:w="980" w:type="dxa"/>
            <w:vAlign w:val="top"/>
          </w:tcPr>
          <w:p>
            <w:pPr>
              <w:spacing w:before="0" w:after="0" w:line="408" w:lineRule="exact"/>
              <w:ind w:left="0" w:right="0" w:firstLine="0"/>
              <w:jc w:val="center"/>
            </w:pPr>
            <w:r>
              <w:rPr>
                <w:rFonts w:ascii="Times New Roman" w:hAnsi="Times New Roman"/>
                <w:sz w:val="20"/>
              </w:rPr>
              <w:t xml:space="preserve">59,493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13</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55,055 </w:t>
            </w:r>
          </w:p>
        </w:tc>
        <w:tc>
          <w:tcPr>
            <w:tcW w:w="940" w:type="dxa"/>
            <w:vAlign w:val="top"/>
          </w:tcPr>
          <w:p>
            <w:pPr>
              <w:spacing w:before="0" w:after="0" w:line="408" w:lineRule="exact"/>
              <w:ind w:left="0" w:right="0" w:firstLine="0"/>
              <w:jc w:val="center"/>
            </w:pPr>
            <w:r>
              <w:rPr>
                <w:rFonts w:ascii="Times New Roman" w:hAnsi="Times New Roman"/>
                <w:sz w:val="20"/>
              </w:rPr>
              <w:t xml:space="preserve">57,717 </w:t>
            </w:r>
          </w:p>
        </w:tc>
        <w:tc>
          <w:tcPr>
            <w:tcW w:w="900" w:type="dxa"/>
            <w:vAlign w:val="top"/>
          </w:tcPr>
          <w:p>
            <w:pPr>
              <w:spacing w:before="0" w:after="0" w:line="408" w:lineRule="exact"/>
              <w:ind w:left="0" w:right="0" w:firstLine="0"/>
              <w:jc w:val="center"/>
            </w:pPr>
            <w:r>
              <w:rPr>
                <w:rFonts w:ascii="Times New Roman" w:hAnsi="Times New Roman"/>
                <w:sz w:val="20"/>
              </w:rPr>
              <w:t xml:space="preserve">55,092 </w:t>
            </w:r>
          </w:p>
        </w:tc>
        <w:tc>
          <w:tcPr>
            <w:tcW w:w="920" w:type="dxa"/>
            <w:vAlign w:val="top"/>
          </w:tcPr>
          <w:p>
            <w:pPr>
              <w:spacing w:before="0" w:after="0" w:line="408" w:lineRule="exact"/>
              <w:ind w:left="0" w:right="0" w:firstLine="0"/>
              <w:jc w:val="center"/>
            </w:pPr>
            <w:r>
              <w:rPr>
                <w:rFonts w:ascii="Times New Roman" w:hAnsi="Times New Roman"/>
                <w:sz w:val="20"/>
              </w:rPr>
              <w:t xml:space="preserve">58,638 </w:t>
            </w:r>
          </w:p>
        </w:tc>
        <w:tc>
          <w:tcPr>
            <w:tcW w:w="980" w:type="dxa"/>
            <w:vAlign w:val="top"/>
          </w:tcPr>
          <w:p>
            <w:pPr>
              <w:spacing w:before="0" w:after="0" w:line="408" w:lineRule="exact"/>
              <w:ind w:left="0" w:right="0" w:firstLine="0"/>
              <w:jc w:val="center"/>
            </w:pPr>
            <w:r>
              <w:rPr>
                <w:rFonts w:ascii="Times New Roman" w:hAnsi="Times New Roman"/>
                <w:sz w:val="20"/>
              </w:rPr>
              <w:t xml:space="preserve">61,299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14</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56,794 </w:t>
            </w:r>
          </w:p>
        </w:tc>
        <w:tc>
          <w:tcPr>
            <w:tcW w:w="940" w:type="dxa"/>
            <w:vAlign w:val="top"/>
          </w:tcPr>
          <w:p>
            <w:pPr>
              <w:spacing w:before="0" w:after="0" w:line="408" w:lineRule="exact"/>
              <w:ind w:left="0" w:right="0" w:firstLine="0"/>
              <w:jc w:val="center"/>
            </w:pPr>
            <w:r>
              <w:rPr>
                <w:rFonts w:ascii="Times New Roman" w:hAnsi="Times New Roman"/>
                <w:sz w:val="20"/>
              </w:rPr>
              <w:t xml:space="preserve">59,592 </w:t>
            </w:r>
          </w:p>
        </w:tc>
        <w:tc>
          <w:tcPr>
            <w:tcW w:w="900" w:type="dxa"/>
            <w:vAlign w:val="top"/>
          </w:tcPr>
          <w:p>
            <w:pPr>
              <w:spacing w:before="0" w:after="0" w:line="408" w:lineRule="exact"/>
              <w:ind w:left="0" w:right="0" w:firstLine="0"/>
              <w:jc w:val="center"/>
            </w:pPr>
            <w:r>
              <w:rPr>
                <w:rFonts w:ascii="Times New Roman" w:hAnsi="Times New Roman"/>
                <w:sz w:val="20"/>
              </w:rPr>
              <w:t xml:space="preserve">56,832 </w:t>
            </w:r>
          </w:p>
        </w:tc>
        <w:tc>
          <w:tcPr>
            <w:tcW w:w="920" w:type="dxa"/>
            <w:vAlign w:val="top"/>
          </w:tcPr>
          <w:p>
            <w:pPr>
              <w:spacing w:before="0" w:after="0" w:line="408" w:lineRule="exact"/>
              <w:ind w:left="0" w:right="0" w:firstLine="0"/>
              <w:jc w:val="center"/>
            </w:pPr>
            <w:r>
              <w:rPr>
                <w:rFonts w:ascii="Times New Roman" w:hAnsi="Times New Roman"/>
                <w:sz w:val="20"/>
              </w:rPr>
              <w:t xml:space="preserve">60,491 </w:t>
            </w:r>
          </w:p>
        </w:tc>
        <w:tc>
          <w:tcPr>
            <w:tcW w:w="980" w:type="dxa"/>
            <w:vAlign w:val="top"/>
          </w:tcPr>
          <w:p>
            <w:pPr>
              <w:spacing w:before="0" w:after="0" w:line="408" w:lineRule="exact"/>
              <w:ind w:left="0" w:right="0" w:firstLine="0"/>
              <w:jc w:val="center"/>
            </w:pPr>
            <w:r>
              <w:rPr>
                <w:rFonts w:ascii="Times New Roman" w:hAnsi="Times New Roman"/>
                <w:sz w:val="20"/>
              </w:rPr>
              <w:t xml:space="preserve">63,175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15 </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58,272 </w:t>
            </w:r>
          </w:p>
        </w:tc>
        <w:tc>
          <w:tcPr>
            <w:tcW w:w="940" w:type="dxa"/>
            <w:vAlign w:val="top"/>
          </w:tcPr>
          <w:p>
            <w:pPr>
              <w:spacing w:before="0" w:after="0" w:line="408" w:lineRule="exact"/>
              <w:ind w:left="0" w:right="0" w:firstLine="0"/>
              <w:jc w:val="center"/>
            </w:pPr>
            <w:r>
              <w:rPr>
                <w:rFonts w:ascii="Times New Roman" w:hAnsi="Times New Roman"/>
                <w:sz w:val="20"/>
              </w:rPr>
              <w:t xml:space="preserve">61,143 </w:t>
            </w:r>
          </w:p>
        </w:tc>
        <w:tc>
          <w:tcPr>
            <w:tcW w:w="900" w:type="dxa"/>
            <w:vAlign w:val="top"/>
          </w:tcPr>
          <w:p>
            <w:pPr>
              <w:spacing w:before="0" w:after="0" w:line="408" w:lineRule="exact"/>
              <w:ind w:left="0" w:right="0" w:firstLine="0"/>
              <w:jc w:val="center"/>
            </w:pPr>
            <w:r>
              <w:rPr>
                <w:rFonts w:ascii="Times New Roman" w:hAnsi="Times New Roman"/>
                <w:sz w:val="20"/>
              </w:rPr>
              <w:t xml:space="preserve">58,310 </w:t>
            </w:r>
          </w:p>
        </w:tc>
        <w:tc>
          <w:tcPr>
            <w:tcW w:w="920" w:type="dxa"/>
            <w:vAlign w:val="top"/>
          </w:tcPr>
          <w:p>
            <w:pPr>
              <w:spacing w:before="0" w:after="0" w:line="408" w:lineRule="exact"/>
              <w:ind w:left="0" w:right="0" w:firstLine="0"/>
              <w:jc w:val="center"/>
            </w:pPr>
            <w:r>
              <w:rPr>
                <w:rFonts w:ascii="Times New Roman" w:hAnsi="Times New Roman"/>
                <w:sz w:val="20"/>
              </w:rPr>
              <w:t xml:space="preserve">62,063 </w:t>
            </w:r>
          </w:p>
        </w:tc>
        <w:tc>
          <w:tcPr>
            <w:tcW w:w="980" w:type="dxa"/>
            <w:vAlign w:val="top"/>
          </w:tcPr>
          <w:p>
            <w:pPr>
              <w:spacing w:before="0" w:after="0" w:line="408" w:lineRule="exact"/>
              <w:ind w:left="0" w:right="0" w:firstLine="0"/>
              <w:jc w:val="center"/>
            </w:pPr>
            <w:r>
              <w:rPr>
                <w:rFonts w:ascii="Times New Roman" w:hAnsi="Times New Roman"/>
                <w:sz w:val="20"/>
              </w:rPr>
              <w:t xml:space="preserve">64,818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59,437 </w:t>
            </w:r>
          </w:p>
        </w:tc>
        <w:tc>
          <w:tcPr>
            <w:tcW w:w="940" w:type="dxa"/>
            <w:vAlign w:val="top"/>
          </w:tcPr>
          <w:p>
            <w:pPr>
              <w:spacing w:before="0" w:after="0" w:line="408" w:lineRule="exact"/>
              <w:ind w:left="0" w:right="0" w:firstLine="0"/>
              <w:jc w:val="center"/>
            </w:pPr>
            <w:r>
              <w:rPr>
                <w:rFonts w:ascii="Times New Roman" w:hAnsi="Times New Roman"/>
                <w:sz w:val="20"/>
              </w:rPr>
              <w:t xml:space="preserve">62,365 </w:t>
            </w:r>
          </w:p>
        </w:tc>
        <w:tc>
          <w:tcPr>
            <w:tcW w:w="900" w:type="dxa"/>
            <w:vAlign w:val="top"/>
          </w:tcPr>
          <w:p>
            <w:pPr>
              <w:spacing w:before="0" w:after="0" w:line="408" w:lineRule="exact"/>
              <w:ind w:left="0" w:right="0" w:firstLine="0"/>
              <w:jc w:val="center"/>
            </w:pPr>
            <w:r>
              <w:rPr>
                <w:rFonts w:ascii="Times New Roman" w:hAnsi="Times New Roman"/>
                <w:sz w:val="20"/>
              </w:rPr>
              <w:t xml:space="preserve">59,476 </w:t>
            </w:r>
          </w:p>
        </w:tc>
        <w:tc>
          <w:tcPr>
            <w:tcW w:w="920" w:type="dxa"/>
            <w:vAlign w:val="top"/>
          </w:tcPr>
          <w:p>
            <w:pPr>
              <w:spacing w:before="0" w:after="0" w:line="408" w:lineRule="exact"/>
              <w:ind w:left="0" w:right="0" w:firstLine="0"/>
              <w:jc w:val="center"/>
            </w:pPr>
            <w:r>
              <w:rPr>
                <w:rFonts w:ascii="Times New Roman" w:hAnsi="Times New Roman"/>
                <w:sz w:val="20"/>
              </w:rPr>
              <w:t xml:space="preserve">63,304 </w:t>
            </w:r>
          </w:p>
        </w:tc>
        <w:tc>
          <w:tcPr>
            <w:tcW w:w="980" w:type="dxa"/>
            <w:vAlign w:val="top"/>
          </w:tcPr>
          <w:p>
            <w:pPr>
              <w:spacing w:before="0" w:after="0" w:line="408" w:lineRule="exact"/>
              <w:ind w:left="0" w:right="0" w:firstLine="0"/>
              <w:jc w:val="center"/>
            </w:pPr>
            <w:r>
              <w:rPr>
                <w:rFonts w:ascii="Times New Roman" w:hAnsi="Times New Roman"/>
                <w:sz w:val="20"/>
              </w:rPr>
              <w:t xml:space="preserve">66,114 </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$161,192,000</w:t>
      </w:r>
    </w:p>
    <w:p>
      <w:pPr>
        <w:tabs>
          <w:tab w:val="right" w:leader="dot" w:pos="9936"/>
        </w:tabs>
        <w:ind w:left="0" w:right="0" w:firstLine="1440"/>
      </w:pPr>
      <w:r>
        <w:rPr/>
        <w:t xml:space="preserve">TOTAL APPROPRIATION</w:t>
      </w:r>
      <w:r>
        <w:tab/>
      </w:r>
      <w:r>
        <w:rPr/>
        <w:t xml:space="preserve">$241,601,000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salary increase of 1.8 percent effective September 1, 2015, and another 1.2 percent increase effective September 1, 2016, the annual cost-of-living adjustments required under Initiative Measure No. 732.</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$465,128,000</w:t>
      </w:r>
    </w:p>
    <w:p>
      <w:pPr>
        <w:tabs>
          <w:tab w:val="right" w:leader="dot" w:pos="9936"/>
        </w:tabs>
        <w:ind w:left="0" w:right="0" w:firstLine="1440"/>
      </w:pPr>
      <w:r>
        <w:rPr/>
        <w:t xml:space="preserve">TOTAL APPROPRIATION</w:t>
      </w:r>
      <w:r>
        <w:tab/>
      </w:r>
      <w:r>
        <w:rPr/>
        <w:t xml:space="preserve">$928,240,000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$698,000 of the general fund</w:t>
      </w:r>
      <w:r>
        <w:rPr>
          <w:rFonts w:ascii="Times New Roman" w:hAnsi="Times New Roman"/>
        </w:rPr>
        <w:t xml:space="preserve">—</w:t>
      </w:r>
      <w:r>
        <w:rPr/>
        <w:t xml:space="preserve">state appropriation for fiscal year 2016 and $698,000 of the general fund</w:t>
      </w:r>
      <w:r>
        <w:rPr>
          <w:rFonts w:ascii="Times New Roman" w:hAnsi="Times New Roman"/>
        </w:rPr>
        <w:t xml:space="preserve">—</w:t>
      </w:r>
      <w:r>
        <w:rPr/>
        <w:t xml:space="preserve">state appropriation for fiscal year 2017 are provided solely for pupil transportation expected cost funding formula adjustments as provided under this subsection. School districts with the following: (i) An efficiency rating in the prior year that is at least ninety-five percent; (ii) an expected cost allocation less than the 2013-14 allocation; and (iii) actual prior year costs exceeding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2016 and fiscal year 2017. Adjustments also may not exceed the difference between the district's school year 2013-14 allocation and the district's expected cost allocation. These adjustments are outside the program of basic education.</w:t>
      </w:r>
    </w:p>
    <w:p>
      <w:pPr>
        <w:spacing w:before="0" w:after="0" w:line="408" w:lineRule="exact"/>
        <w:ind w:left="0" w:right="0" w:firstLine="576"/>
        <w:jc w:val="left"/>
      </w:pPr>
      <w:r>
        <w:rPr/>
        <w:t xml:space="preserve">(4) A maximum of $892,000 of the general fund</w:t>
      </w:r>
      <w:r>
        <w:rPr>
          <w:rFonts w:ascii="Times New Roman" w:hAnsi="Times New Roman"/>
        </w:rPr>
        <w:t xml:space="preserve">—</w:t>
      </w:r>
      <w:r>
        <w:rPr/>
        <w:t xml:space="preserve">state appropriation for fiscal year 2016 and a maximum of $892,000 of the general fund</w:t>
      </w:r>
      <w:r>
        <w:rPr>
          <w:rFonts w:ascii="Times New Roman" w:hAnsi="Times New Roman"/>
        </w:rPr>
        <w:t xml:space="preserve">—</w:t>
      </w:r>
      <w:r>
        <w:rPr/>
        <w:t xml:space="preserve">state appropriation for fiscal year 2017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(1), (2), and (3)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and high poverty elementary schools as provided under section 502(4); and guidance counselors in prototypical middle schools and high poverty middle schools as provided under section 502(2)(a), which enhancements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state school for the blind and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$373,422,000</w:t>
      </w:r>
    </w:p>
    <w:p>
      <w:pPr>
        <w:tabs>
          <w:tab w:val="right" w:leader="dot" w:pos="9936"/>
        </w:tabs>
        <w:ind w:left="0" w:right="0" w:firstLine="1440"/>
      </w:pPr>
      <w:r>
        <w:rPr/>
        <w:t xml:space="preserve">TOTAL APPROPRIATION</w:t>
      </w:r>
      <w:r>
        <w:tab/>
      </w:r>
      <w:r>
        <w:rPr/>
        <w:t xml:space="preserve">$742,977,000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8.4 percent from the 2014-15 school year to the 2015-16 school year and 1.4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$18,925,000</w:t>
      </w:r>
    </w:p>
    <w:p>
      <w:pPr>
        <w:tabs>
          <w:tab w:val="right" w:leader="dot" w:pos="9936"/>
        </w:tabs>
        <w:ind w:left="0" w:right="0" w:firstLine="1440"/>
      </w:pPr>
      <w:r>
        <w:rPr/>
        <w:t xml:space="preserve">TOTAL APPROPRIATION</w:t>
      </w:r>
      <w:r>
        <w:tab/>
      </w:r>
      <w:r>
        <w:rPr/>
        <w:t xml:space="preserve">$35,846,000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Allocations shall be based on three percent of each school district's full-time equivalent basic education enrollment; (ii) additional instruction of 3.0 hours per week per funded highly capable program student; (iii) fifteen highly capable program students per teacher; (iv) 36 instructional weeks per year; (v)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$114,822,000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$118,164,000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$331,360,000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$1,877,000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$900,000 of the 2016 appropriation and $900,000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tabs>
          <w:tab w:val="right" w:leader="dot" w:pos="9936"/>
        </w:tabs>
        <w:ind w:left="0" w:right="0" w:firstLine="1440"/>
      </w:pPr>
      <w:r>
        <w:rPr/>
        <w:t xml:space="preserve">TOTAL APPROPRIATION</w:t>
      </w:r>
      <w:r>
        <w:tab/>
      </w:r>
      <w:r>
        <w:rPr/>
        <w:t xml:space="preserve">$312,042,000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tabs>
          <w:tab w:val="right" w:leader="dot" w:pos="9936"/>
        </w:tabs>
        <w:ind w:left="0" w:right="0" w:firstLine="1440"/>
      </w:pPr>
      <w:r>
        <w:rPr/>
        <w:t xml:space="preserve">TOTAL APPROPRIATION</w:t>
      </w:r>
      <w:r>
        <w:tab/>
      </w:r>
      <w:r>
        <w:rPr/>
        <w:t xml:space="preserve">$899,585,000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 (4)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$973,000</w:t>
      </w:r>
    </w:p>
    <w:p>
      <w:pPr>
        <w:tabs>
          <w:tab w:val="right" w:leader="dot" w:pos="9936"/>
        </w:tabs>
        <w:ind w:left="0" w:right="0" w:firstLine="1440"/>
      </w:pPr>
      <w:r>
        <w:rPr/>
        <w:t xml:space="preserve">TOTAL APPROPRIATION</w:t>
      </w:r>
      <w:r>
        <w:tab/>
      </w:r>
      <w:r>
        <w:rPr/>
        <w:t xml:space="preserve">$1,536,000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(4)(b)(ii)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(4)(b)(ii).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workgroup with staff from the office of financial management including the education research and data center, nonpartisan legislative fiscal staff, and staff from legislative evaluation and accountability program. The workgroup shall determine key elements, definitions, assumptions, and drivers to forecast tuition revenue. By December 1, 2015, the workgroup shall recommend a single methodology for budget, allotment, and budget scenario modeling purposes. The workgroup may consult with the caseload forecast council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12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For the purposes of RCW 28B.15.067(6) as amended by Engrossed Substitute Senate Bill No. 5954 (college affordability program), the 2015-16 academic year tuition operating fee for the state universities as defined in RCW 28B.15.005 shall be eighteen percent of the state average wage as defined in RCW 50.04.355.</w:t>
      </w:r>
    </w:p>
    <w:p>
      <w:pPr>
        <w:spacing w:before="0" w:after="0" w:line="408" w:lineRule="exact"/>
        <w:ind w:left="0" w:right="0" w:firstLine="576"/>
        <w:jc w:val="left"/>
      </w:pPr>
      <w:r>
        <w:rPr/>
        <w:t xml:space="preserve">(2) For the purposes of RCW 28B.15.067(6) as amended by Engrossed Substitute Senate Bill No. 5954 (college affordability program), the 2015-16 academic year tuition operating fee for the regional universities as defined in RCW 28B.15.005 and The Evergreen State College shall be twelve percent of the state average wage as defined in RCW 50.04.355.</w:t>
      </w:r>
    </w:p>
    <w:p>
      <w:pPr>
        <w:spacing w:before="0" w:after="0" w:line="408" w:lineRule="exact"/>
        <w:ind w:left="0" w:right="0" w:firstLine="576"/>
        <w:jc w:val="left"/>
      </w:pPr>
      <w:r>
        <w:rPr/>
        <w:t xml:space="preserve">(3)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(1) For the purposes of RCW 28B.15.067(3) as amended by Engrossed Substitute Senate Bill No. 5954 (college affordability program), the 2015-16 academic year tuition operating fee shall be the same as the tuition operating fee in the 2014-15 academic year.</w:t>
      </w:r>
    </w:p>
    <w:p>
      <w:pPr>
        <w:spacing w:before="0" w:after="0" w:line="408" w:lineRule="exact"/>
        <w:ind w:left="0" w:right="0" w:firstLine="576"/>
        <w:jc w:val="left"/>
      </w:pPr>
      <w:r>
        <w:rPr/>
        <w:t xml:space="preserve">(2) For the 2015-16 and 2016-17 academic years, the state board shall not increase tuition fees charged to resident undergraduates enrolled in upper division applied baccalaureate programs as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$607,902,000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$630,253,000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$17,548,000</w:t>
      </w:r>
    </w:p>
    <w:p>
      <w:pPr>
        <w:tabs>
          <w:tab w:val="right" w:leader="dot" w:pos="9936"/>
        </w:tabs>
        <w:ind w:left="0" w:right="0" w:firstLine="1440"/>
      </w:pPr>
      <w:r>
        <w:rPr/>
        <w:t xml:space="preserve">TOTAL APPROPRIATION</w:t>
      </w:r>
      <w:r>
        <w:tab/>
      </w:r>
      <w:r>
        <w:rPr/>
        <w:t xml:space="preserve">$1,351,778,000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$2,725,000 of the general fund</w:t>
      </w:r>
      <w:r>
        <w:rPr>
          <w:rFonts w:ascii="Times New Roman" w:hAnsi="Times New Roman"/>
        </w:rPr>
        <w:t xml:space="preserve">—</w:t>
      </w:r>
      <w:r>
        <w:rPr/>
        <w:t xml:space="preserve">state appropriation for fiscal year 2016 and $2,725,000 of the general fund</w:t>
      </w:r>
      <w:r>
        <w:rPr>
          <w:rFonts w:ascii="Times New Roman" w:hAnsi="Times New Roman"/>
        </w:rPr>
        <w:t xml:space="preserve">—</w:t>
      </w:r>
      <w:r>
        <w:rPr/>
        <w:t xml:space="preserve">state appropriation for fiscal year 2017 are provided solely for administration and customized training contracts through the job skills program. The state board must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$10,236,000 of the general fund</w:t>
      </w:r>
      <w:r>
        <w:rPr>
          <w:rFonts w:ascii="Times New Roman" w:hAnsi="Times New Roman"/>
        </w:rPr>
        <w:t xml:space="preserve">—</w:t>
      </w:r>
      <w:r>
        <w:rPr/>
        <w:t xml:space="preserve">state appropriation for fiscal year 2017 is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 appropriation for fiscal year 2016 and $5,000 of the general fund</w:t>
      </w:r>
      <w:r>
        <w:rPr>
          <w:rFonts w:ascii="Times New Roman" w:hAnsi="Times New Roman"/>
        </w:rPr>
        <w:t xml:space="preserve">—</w:t>
      </w:r>
      <w:r>
        <w:rPr/>
        <w:t xml:space="preserve">state appropriation for fiscal year 2017 are provided solely for the implementation of Engrossed Second Substitute Senate Bill No. 5179 (paraeducators). If the bill is not enacted by June 30, 2015, the amounts provided in this subsection shall lapse.</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(7)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w:t>
      </w:r>
      <w:r>
        <w:rPr>
          <w:rFonts w:ascii="Times New Roman" w:hAnsi="Times New Roman"/>
        </w:rPr>
        <w:t xml:space="preserve">—</w:t>
      </w:r>
      <w:r>
        <w:rPr/>
        <w:t xml:space="preserve">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spacing w:before="0" w:after="0" w:line="408" w:lineRule="exact"/>
        <w:ind w:left="0" w:right="0" w:firstLine="576"/>
        <w:jc w:val="left"/>
      </w:pPr>
      <w:r>
        <w:rPr/>
        <w:t xml:space="preserve">(8) $6,245,000 of the general fund</w:t>
      </w:r>
      <w:r>
        <w:rPr>
          <w:rFonts w:ascii="Times New Roman" w:hAnsi="Times New Roman"/>
        </w:rPr>
        <w:t xml:space="preserve">—</w:t>
      </w:r>
      <w:r>
        <w:rPr/>
        <w:t xml:space="preserve">state appropriation for fiscal year 2016, $10,560,000 of the general fund</w:t>
      </w:r>
      <w:r>
        <w:rPr>
          <w:rFonts w:ascii="Times New Roman" w:hAnsi="Times New Roman"/>
        </w:rPr>
        <w:t xml:space="preserve">—</w:t>
      </w:r>
      <w:r>
        <w:rPr/>
        <w:t xml:space="preserve">state appropriation for fiscal year 2017, and $128,000 of the education legacy trust account</w:t>
      </w:r>
      <w:r>
        <w:rPr>
          <w:rFonts w:ascii="Times New Roman" w:hAnsi="Times New Roman"/>
        </w:rPr>
        <w:t xml:space="preserve">—</w:t>
      </w:r>
      <w:r>
        <w:rPr/>
        <w:t xml:space="preserve">state appropriation are provided solely for the cost-of-living salary adjustments under Initiative 732.</w:t>
      </w:r>
    </w:p>
    <w:p>
      <w:pPr>
        <w:spacing w:before="0" w:after="0" w:line="408" w:lineRule="exact"/>
        <w:ind w:left="0" w:right="0" w:firstLine="576"/>
        <w:jc w:val="left"/>
      </w:pPr>
      <w:r>
        <w:rPr/>
        <w:t xml:space="preserve">(9) $7,117,000 of the general fund</w:t>
      </w:r>
      <w:r>
        <w:rPr>
          <w:rFonts w:ascii="Times New Roman" w:hAnsi="Times New Roman"/>
        </w:rPr>
        <w:t xml:space="preserve">—</w:t>
      </w:r>
      <w:r>
        <w:rPr/>
        <w:t xml:space="preserve">state appropriation for fiscal year 2016, $14,336,000 of the general fund</w:t>
      </w:r>
      <w:r>
        <w:rPr>
          <w:rFonts w:ascii="Times New Roman" w:hAnsi="Times New Roman"/>
        </w:rPr>
        <w:t xml:space="preserve">—</w:t>
      </w:r>
      <w:r>
        <w:rPr/>
        <w:t xml:space="preserve">state appropriation for fiscal year 2017, and $180,000 of the education legacy trust account</w:t>
      </w:r>
      <w:r>
        <w:rPr>
          <w:rFonts w:ascii="Times New Roman" w:hAnsi="Times New Roman"/>
        </w:rPr>
        <w:t xml:space="preserve">—</w:t>
      </w:r>
      <w:r>
        <w:rPr/>
        <w:t xml:space="preserve">state appropriation are provided solely for an increase in employee wages.</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If, by December 31, 2015, the department of enterprise services and the office of financial management do not complete the competitive procurement under RCW 43.19.008(5) to determine if a private vendor should perform real estate services for state agencies, the state board of community and technical colleges shall suspend all payments to the department of enterprise services for real estate services. The state board of community and technical colleges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(14)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$358,631,000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$393,000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$6,902,000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$6,617,000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$1,700,000</w:t>
      </w:r>
    </w:p>
    <w:p>
      <w:pPr>
        <w:tabs>
          <w:tab w:val="right" w:leader="dot" w:pos="9936"/>
        </w:tabs>
        <w:ind w:left="0" w:right="0" w:firstLine="1440"/>
      </w:pPr>
      <w:r>
        <w:rPr/>
        <w:t xml:space="preserve">TOTAL APPROPRIATION</w:t>
      </w:r>
      <w:r>
        <w:tab/>
      </w:r>
      <w:r>
        <w:rPr/>
        <w:t xml:space="preserve">$693,009,000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university of forest resources.</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(4) Within existing resources the University of Washington may: (a)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(5) $1,700,000 of the state toxics control account</w:t>
      </w:r>
      <w:r>
        <w:rPr>
          <w:rFonts w:ascii="Times New Roman" w:hAnsi="Times New Roman"/>
        </w:rPr>
        <w:t xml:space="preserve">—</w:t>
      </w:r>
      <w:r>
        <w:rPr/>
        <w:t xml:space="preserve">state appropriation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$27,266,000 of the general fund</w:t>
      </w:r>
      <w:r>
        <w:rPr>
          <w:rFonts w:ascii="Times New Roman" w:hAnsi="Times New Roman"/>
        </w:rPr>
        <w:t xml:space="preserve">—</w:t>
      </w:r>
      <w:r>
        <w:rPr/>
        <w:t xml:space="preserve">state appropriation for fiscal year 2016 and $68,532,000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(8) $1,250,000 of the general fund</w:t>
      </w:r>
      <w:r>
        <w:rPr>
          <w:rFonts w:ascii="Times New Roman" w:hAnsi="Times New Roman"/>
        </w:rPr>
        <w:t xml:space="preserve">—</w:t>
      </w:r>
      <w:r>
        <w:rPr/>
        <w:t xml:space="preserve">state appropriation for fiscal year 2016 and $1,250,000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(9) $16,532,000 of the general fund</w:t>
      </w:r>
      <w:r>
        <w:rPr>
          <w:rFonts w:ascii="Times New Roman" w:hAnsi="Times New Roman"/>
        </w:rPr>
        <w:t xml:space="preserve">—</w:t>
      </w:r>
      <w:r>
        <w:rPr/>
        <w:t xml:space="preserve">state appropriation for fiscal year 2016 and $33,065,000 of the general fund</w:t>
      </w:r>
      <w:r>
        <w:rPr>
          <w:rFonts w:ascii="Times New Roman" w:hAnsi="Times New Roman"/>
        </w:rPr>
        <w:t xml:space="preserve">—</w:t>
      </w:r>
      <w:r>
        <w:rPr/>
        <w:t xml:space="preserve">state appropriation for fiscal year 2017 are provided solely for an increase in employee wages.</w:t>
      </w:r>
    </w:p>
    <w:p>
      <w:pPr>
        <w:spacing w:before="0" w:after="0" w:line="408" w:lineRule="exact"/>
        <w:ind w:left="0" w:right="0" w:firstLine="576"/>
        <w:jc w:val="left"/>
      </w:pPr>
      <w:r>
        <w:rPr/>
        <w:t xml:space="preserve">(10) Within the amounts provided in this section, the University of Washington Medicine shall enter into an inter-agency agreement with the special commitment center within the department of social and health services and also enter into an inter-agency agreement with the department of corrections. The inter-agency agreements shall allow each entity to receive drug pricing under 340B of the public health services act, at the very least, for drug purchases associated with treating patients with hepatitis C, whereby the university is acting as the covered entity or safety-net provider beginning January 1, 2016.</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The University of Washington shall not increase the number of partner states to the Washington, Wyoming, Alaska, Montana, Idaho medical school program after the effective date of this section without legislative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$184,822,000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$218,618,000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Washington Nuclear Energy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$105,000</w:t>
      </w:r>
    </w:p>
    <w:p>
      <w:pPr>
        <w:tabs>
          <w:tab w:val="right" w:leader="dot" w:pos="9936"/>
        </w:tabs>
        <w:ind w:left="0" w:right="0" w:firstLine="1440"/>
      </w:pPr>
      <w:r>
        <w:rPr/>
        <w:t xml:space="preserve">TOTAL APPROPRIATION</w:t>
      </w:r>
      <w:r>
        <w:tab/>
      </w:r>
      <w:r>
        <w:rPr/>
        <w:t xml:space="preserve">$437,540,000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$12,906,000 of the general fund</w:t>
      </w:r>
      <w:r>
        <w:rPr>
          <w:rFonts w:ascii="Times New Roman" w:hAnsi="Times New Roman"/>
        </w:rPr>
        <w:t xml:space="preserve">—</w:t>
      </w:r>
      <w:r>
        <w:rPr/>
        <w:t xml:space="preserve">state appropriation for fiscal year 2016 and $41,557,000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(4) $1,122,000 of the general fund</w:t>
      </w:r>
      <w:r>
        <w:rPr>
          <w:rFonts w:ascii="Times New Roman" w:hAnsi="Times New Roman"/>
        </w:rPr>
        <w:t xml:space="preserve">—</w:t>
      </w:r>
      <w:r>
        <w:rPr/>
        <w:t xml:space="preserve">state appropriation for fiscal year 2016 and $1,123,000 of the general fund</w:t>
      </w:r>
      <w:r>
        <w:rPr>
          <w:rFonts w:ascii="Times New Roman" w:hAnsi="Times New Roman"/>
        </w:rPr>
        <w:t xml:space="preserve">—</w:t>
      </w:r>
      <w:r>
        <w:rPr/>
        <w:t xml:space="preserve">state appropriation for fiscal year 2017 are provided solely for new academic programs in software engineering, sustainable food systems, data analytics, and aviation management at the university center of north Puget Sound. </w:t>
      </w:r>
    </w:p>
    <w:p>
      <w:pPr>
        <w:spacing w:before="0" w:after="0" w:line="408" w:lineRule="exact"/>
        <w:ind w:left="0" w:right="0" w:firstLine="576"/>
        <w:jc w:val="left"/>
      </w:pPr>
      <w:r>
        <w:rPr/>
        <w:t xml:space="preserve">(5)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the implementation of Substitute House Bill No. 1559 (higher education programs). If the bill is not enacted by June 30, 2015, the amounts provided in this subsection shall lapse.</w:t>
      </w:r>
    </w:p>
    <w:p>
      <w:pPr>
        <w:spacing w:before="0" w:after="0" w:line="408" w:lineRule="exact"/>
        <w:ind w:left="0" w:right="0" w:firstLine="576"/>
        <w:jc w:val="left"/>
      </w:pPr>
      <w:r>
        <w:rPr/>
        <w:t xml:space="preserve">(6) Within the amounts appropriated in this section, Washington State University must offer to the University of Washington to continue the services and operations of the WWAMI program in Spokane under the same conditions and limitations that existed in the 2013-2015 fiscal biennium prior to the dissolution of the WWAMI partnership between the University of Washington and Washington State University.</w:t>
      </w:r>
    </w:p>
    <w:p>
      <w:pPr>
        <w:spacing w:before="0" w:after="0" w:line="408" w:lineRule="exact"/>
        <w:ind w:left="0" w:right="0" w:firstLine="576"/>
        <w:jc w:val="left"/>
      </w:pPr>
      <w:r>
        <w:rPr/>
        <w:t xml:space="preserve">(7) $105,000 of the Washington nuclear energy education account</w:t>
      </w:r>
      <w:r>
        <w:rPr>
          <w:rFonts w:ascii="Times New Roman" w:hAnsi="Times New Roman"/>
        </w:rPr>
        <w:t xml:space="preserve">—</w:t>
      </w:r>
      <w:r>
        <w:rPr/>
        <w:t xml:space="preserve">state appropriation is provided solely for the implementation of Second Substitute Senate Bill No. 5093 (nuclear energy education). If the bill is not enacted by June 30, 2015, the amount provided in this subsection shall lapse.</w:t>
      </w:r>
    </w:p>
    <w:p>
      <w:pPr>
        <w:spacing w:before="0" w:after="0" w:line="408" w:lineRule="exact"/>
        <w:ind w:left="0" w:right="0" w:firstLine="576"/>
        <w:jc w:val="left"/>
      </w:pPr>
      <w:r>
        <w:rPr/>
        <w:t xml:space="preserve">(8) $4,271,000 of the general fund</w:t>
      </w:r>
      <w:r>
        <w:rPr>
          <w:rFonts w:ascii="Times New Roman" w:hAnsi="Times New Roman"/>
        </w:rPr>
        <w:t xml:space="preserve">—</w:t>
      </w:r>
      <w:r>
        <w:rPr/>
        <w:t xml:space="preserve">state appropriation for fiscal year 2016 and $8,543,000 of the general fund</w:t>
      </w:r>
      <w:r>
        <w:rPr>
          <w:rFonts w:ascii="Times New Roman" w:hAnsi="Times New Roman"/>
        </w:rPr>
        <w:t xml:space="preserve">—</w:t>
      </w:r>
      <w:r>
        <w:rPr/>
        <w:t xml:space="preserve">state appropriation for fiscal year 2017 are provided solely for an increase in employee wages.</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(10) Washington State University shall not use funds appropriated in this section to support intercollegiate athletic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$44,636,000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$16,598,000</w:t>
      </w:r>
    </w:p>
    <w:p>
      <w:pPr>
        <w:tabs>
          <w:tab w:val="right" w:leader="dot" w:pos="9936"/>
        </w:tabs>
        <w:ind w:left="0" w:right="0" w:firstLine="1440"/>
      </w:pPr>
      <w:r>
        <w:rPr/>
        <w:t xml:space="preserve">TOTAL APPROPRIATION</w:t>
      </w:r>
      <w:r>
        <w:tab/>
      </w:r>
      <w:r>
        <w:rPr/>
        <w:t xml:space="preserve">$98,126,000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$1,254,000 of the general fund</w:t>
      </w:r>
      <w:r>
        <w:rPr>
          <w:rFonts w:ascii="Times New Roman" w:hAnsi="Times New Roman"/>
        </w:rPr>
        <w:t xml:space="preserve">—</w:t>
      </w:r>
      <w:r>
        <w:rPr/>
        <w:t xml:space="preserve">state appropriation for fiscal year 2016 and $7,818,000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(5) $1,222,000 of the general fund</w:t>
      </w:r>
      <w:r>
        <w:rPr>
          <w:rFonts w:ascii="Times New Roman" w:hAnsi="Times New Roman"/>
        </w:rPr>
        <w:t xml:space="preserve">—</w:t>
      </w:r>
      <w:r>
        <w:rPr/>
        <w:t xml:space="preserve">state appropriation for fiscal year 2016 and $2,445,000 of the general fund</w:t>
      </w:r>
      <w:r>
        <w:rPr>
          <w:rFonts w:ascii="Times New Roman" w:hAnsi="Times New Roman"/>
        </w:rPr>
        <w:t xml:space="preserve">—</w:t>
      </w:r>
      <w:r>
        <w:rPr/>
        <w:t xml:space="preserve">state appropriation for fiscal year 2017 are provided solely for an increase in employee wages.</w:t>
      </w:r>
    </w:p>
    <w:p>
      <w:pPr>
        <w:spacing w:before="0" w:after="0" w:line="408" w:lineRule="exact"/>
        <w:ind w:left="0" w:right="0" w:firstLine="576"/>
        <w:jc w:val="left"/>
      </w:pPr>
      <w:r>
        <w:rPr/>
        <w:t xml:space="preserve">(6) Eastern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$48,462,000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$107,026,000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are sufficient for the university to develop a plan to create an online degree granting entity that awards degrees based on an alternative credit model.</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$5,210,000 of the general fund</w:t>
      </w:r>
      <w:r>
        <w:rPr>
          <w:rFonts w:ascii="Times New Roman" w:hAnsi="Times New Roman"/>
        </w:rPr>
        <w:t xml:space="preserve">—</w:t>
      </w:r>
      <w:r>
        <w:rPr/>
        <w:t xml:space="preserve">state appropriation for fiscal year 2016 and $12,701,000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(6) $1,080,000 of the general fund</w:t>
      </w:r>
      <w:r>
        <w:rPr>
          <w:rFonts w:ascii="Times New Roman" w:hAnsi="Times New Roman"/>
        </w:rPr>
        <w:t xml:space="preserve">—</w:t>
      </w:r>
      <w:r>
        <w:rPr/>
        <w:t xml:space="preserve">state appropriation for fiscal year 2016 and $2,160,000 of the general fund</w:t>
      </w:r>
      <w:r>
        <w:rPr>
          <w:rFonts w:ascii="Times New Roman" w:hAnsi="Times New Roman"/>
        </w:rPr>
        <w:t xml:space="preserve">—</w:t>
      </w:r>
      <w:r>
        <w:rPr/>
        <w:t xml:space="preserve">state appropriation for fiscal year 2017 are provided solely for an increase in employee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$54,879,000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Evergreen State College must work with the education research and data center to demonstrate progress in computer science enrollments. By September 1st of each year, the college shall provide a report including but not limited to the cost per student, student completion rates, and the number of low-income students enrolled, any process changes or best-practices implemented by the college, and how many students are enrolled in computer science programs above the prior academic year.</w:t>
      </w:r>
    </w:p>
    <w:p>
      <w:pPr>
        <w:spacing w:before="0" w:after="0" w:line="408" w:lineRule="exact"/>
        <w:ind w:left="0" w:right="0" w:firstLine="576"/>
        <w:jc w:val="left"/>
      </w:pPr>
      <w:r>
        <w:rPr/>
        <w:t xml:space="preserve">(2) $1,662,000 of the general fund</w:t>
      </w:r>
      <w:r>
        <w:rPr>
          <w:rFonts w:ascii="Times New Roman" w:hAnsi="Times New Roman"/>
        </w:rPr>
        <w:t xml:space="preserve">—</w:t>
      </w:r>
      <w:r>
        <w:rPr/>
        <w:t xml:space="preserve">state appropriation for fiscal year 2016 and $3,997,000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Second Substitute Senate Bill No. 5851 (college bound). If the bill is not enacted by June 30, 2015, the amounts provided in this subsection shall lapse.</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(5) $37,000 of the general fund</w:t>
      </w:r>
      <w:r>
        <w:rPr>
          <w:rFonts w:ascii="Times New Roman" w:hAnsi="Times New Roman"/>
        </w:rPr>
        <w:t xml:space="preserve">—</w:t>
      </w:r>
      <w:r>
        <w:rPr/>
        <w:t xml:space="preserve">state appropriation for fiscal year 2016 and $158,000 of the general fund</w:t>
      </w:r>
      <w:r>
        <w:rPr>
          <w:rFonts w:ascii="Times New Roman" w:hAnsi="Times New Roman"/>
        </w:rPr>
        <w:t xml:space="preserve">—</w:t>
      </w:r>
      <w:r>
        <w:rPr/>
        <w:t xml:space="preserve">state appropriation for fiscal year 2017 are provided solely for the implementation of Engrossed Substitute Senate Bill No. 5915 (dynamic fiscal notes). If the bill is not enacted by June 30, 2015, the amounts provided in this subsection shall lapse.</w:t>
      </w:r>
    </w:p>
    <w:p>
      <w:pPr>
        <w:spacing w:before="0" w:after="0" w:line="408" w:lineRule="exact"/>
        <w:ind w:left="0" w:right="0" w:firstLine="576"/>
        <w:jc w:val="left"/>
      </w:pPr>
      <w:r>
        <w:rPr/>
        <w:t xml:space="preserve">(6) $98,000 of the general fund</w:t>
      </w:r>
      <w:r>
        <w:rPr>
          <w:rFonts w:ascii="Times New Roman" w:hAnsi="Times New Roman"/>
        </w:rPr>
        <w:t xml:space="preserve">—</w:t>
      </w:r>
      <w:r>
        <w:rPr/>
        <w:t xml:space="preserve">state appropriation for fiscal year 2016 is provided solely for the implementation of Substitute Senate Bill No. 5631 (domestic violence services). If the bill is not enacted by June 30, 2015, the amounts provided in this subsection shall lapse.</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Washington state institute for public policy to conduct outcome evaluations of up to five programs that aim to prevent youth marijuana use and other substance use related outcomes, including the use of vaping devices, and are administered through the department of social and health services division of behavioral health and recovery. The institute's evaluations must use research methods designed to assess whether the prevention programs are evidence-based or research-based. The institute shall consult with the division of behavioral health and recovery in selecting programs for evaluation. The institute must report its findings to the relevant legislative committees by December 1, 2016.</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the implementation of Engrossed Second Substitute Senate Bill No. 5452 (early start). If the bill is not enacted by June 30, 2015, the amounts provided in this subsection shall lapse.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2017 is provided solely for the implementation of Engrossed Second Substitute Senate Bill No. 5179 (paraeducators). If the bill is not enacted by June 30, 2015, the amounts provided in this subsection shall lapse.</w:t>
      </w:r>
    </w:p>
    <w:p>
      <w:pPr>
        <w:spacing w:before="0" w:after="0" w:line="408" w:lineRule="exact"/>
        <w:ind w:left="0" w:right="0" w:firstLine="576"/>
        <w:jc w:val="left"/>
      </w:pPr>
      <w:r>
        <w:rPr/>
        <w:t xml:space="preserve">(10) $225,000 of the general fund</w:t>
      </w:r>
      <w:r>
        <w:rPr>
          <w:rFonts w:ascii="Times New Roman" w:hAnsi="Times New Roman"/>
        </w:rPr>
        <w:t xml:space="preserve">—</w:t>
      </w:r>
      <w:r>
        <w:rPr/>
        <w:t xml:space="preserve">state appropriation for fiscal year 2016 and $225,000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(11) $506,000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an increase in employee wages.</w:t>
      </w:r>
    </w:p>
    <w:p>
      <w:pPr>
        <w:spacing w:before="0" w:after="0" w:line="408" w:lineRule="exact"/>
        <w:ind w:left="0" w:right="0" w:firstLine="576"/>
        <w:jc w:val="left"/>
      </w:pPr>
      <w:r>
        <w:rPr/>
        <w:t xml:space="preserve">(12)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(13)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(15)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$57,243,000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$67,908,000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$14,007,000</w:t>
      </w:r>
    </w:p>
    <w:p>
      <w:pPr>
        <w:tabs>
          <w:tab w:val="right" w:leader="dot" w:pos="9936"/>
        </w:tabs>
        <w:ind w:left="0" w:right="0" w:firstLine="1440"/>
      </w:pPr>
      <w:r>
        <w:rPr/>
        <w:t xml:space="preserve">TOTAL APPROPRIATION</w:t>
      </w:r>
      <w:r>
        <w:tab/>
      </w:r>
      <w:r>
        <w:rPr/>
        <w:t xml:space="preserve">$139,158,000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(2) $9,088,000 of the general fund</w:t>
      </w:r>
      <w:r>
        <w:rPr>
          <w:rFonts w:ascii="Times New Roman" w:hAnsi="Times New Roman"/>
        </w:rPr>
        <w:t xml:space="preserve">—</w:t>
      </w:r>
      <w:r>
        <w:rPr/>
        <w:t xml:space="preserve">state appropriation for fiscal year 2016 and $18,399,000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(4) $1,324,000 of the general fund</w:t>
      </w:r>
      <w:r>
        <w:rPr>
          <w:rFonts w:ascii="Times New Roman" w:hAnsi="Times New Roman"/>
        </w:rPr>
        <w:t xml:space="preserve">—</w:t>
      </w:r>
      <w:r>
        <w:rPr/>
        <w:t xml:space="preserve">state appropriation for fiscal year 2016 and $2,647,000 of the general fund</w:t>
      </w:r>
      <w:r>
        <w:rPr>
          <w:rFonts w:ascii="Times New Roman" w:hAnsi="Times New Roman"/>
        </w:rPr>
        <w:t xml:space="preserve">—</w:t>
      </w:r>
      <w:r>
        <w:rPr/>
        <w:t xml:space="preserve">state appropriation for fiscal year 2017 are provided solely for an increase in employee wages.</w:t>
      </w:r>
    </w:p>
    <w:p>
      <w:pPr>
        <w:spacing w:before="0" w:after="0" w:line="408" w:lineRule="exact"/>
        <w:ind w:left="0" w:right="0" w:firstLine="576"/>
        <w:jc w:val="left"/>
      </w:pPr>
      <w:r>
        <w:rPr/>
        <w:t xml:space="preserve">(5) Western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$7,095,000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$4,841,000</w:t>
      </w:r>
    </w:p>
    <w:p>
      <w:pPr>
        <w:tabs>
          <w:tab w:val="right" w:leader="dot" w:pos="9936"/>
        </w:tabs>
        <w:ind w:left="0" w:right="0" w:firstLine="1440"/>
      </w:pPr>
      <w:r>
        <w:rPr/>
        <w:t xml:space="preserve">TOTAL APPROPRIATION</w:t>
      </w:r>
      <w:r>
        <w:tab/>
      </w:r>
      <w:r>
        <w:rPr/>
        <w:t xml:space="preserve">$19,023,000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$262,825,000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$207,496,000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$59,508,000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$135,000,000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$678,579,000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$227,893,000 of the general fund</w:t>
      </w:r>
      <w:r>
        <w:rPr>
          <w:rFonts w:ascii="Times New Roman" w:hAnsi="Times New Roman"/>
        </w:rPr>
        <w:t xml:space="preserve">—</w:t>
      </w:r>
      <w:r>
        <w:rPr/>
        <w:t xml:space="preserve">state appropriation for fiscal year 2016, and $194,411,000 of the general fund</w:t>
      </w:r>
      <w:r>
        <w:rPr>
          <w:rFonts w:ascii="Times New Roman" w:hAnsi="Times New Roman"/>
        </w:rPr>
        <w:t xml:space="preserve">—</w:t>
      </w:r>
      <w:r>
        <w:rPr/>
        <w:t xml:space="preserve">state appropriation for fiscal year 2017, $6,000,000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the state need grant program and the implementation of Engrossed Substitute Senate Bill No. 5954 (college affordability program). Prior to disbursing annual state need grant amounts to institutions of higher education, the council shall retain an amount sufficient to provide maximum state need grant awards for participants in the college bound program as forecasted by the caseload forecast council in February preceding the academic year awards will be disbursed. The student achievement council shall disburse state need grant awards for college bound students in the same manner as college bound awards.</w:t>
      </w:r>
    </w:p>
    <w:p>
      <w:pPr>
        <w:spacing w:before="0" w:after="0" w:line="408" w:lineRule="exact"/>
        <w:ind w:left="0" w:right="0" w:firstLine="576"/>
        <w:jc w:val="left"/>
      </w:pPr>
      <w:r>
        <w:rPr/>
        <w:t xml:space="preserve">(2) To achieve the fiscal objectives provided in subsections (1) and (6) of this section, changes made to the state need grant program in the 2011-2013 and 2013-2015 fiscal biennia are continued in the 2015-2017 fiscal biennium except for aligning increases to private institutions. For the college bound scholarship awards and the state need grant awards given to private institutions, the percentage reductions in the annual tuition award for state universities pursuant to Engrossed Substitute Senate Bill No. 5954 (college affordability program) shall be the same for private institutions.</w:t>
      </w:r>
    </w:p>
    <w:p>
      <w:pPr>
        <w:spacing w:before="0" w:after="0" w:line="408" w:lineRule="exact"/>
        <w:ind w:left="0" w:right="0" w:firstLine="576"/>
        <w:jc w:val="left"/>
      </w:pPr>
      <w:r>
        <w:rPr/>
        <w:t xml:space="preserve">(3) Changes made to the state work study program in the 2011-2013 and 2013-2015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the conditions and limitations in this section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(6) $40,438,000 of the education legacy trust account</w:t>
      </w:r>
      <w:r>
        <w:rPr>
          <w:rFonts w:ascii="Times New Roman" w:hAnsi="Times New Roman"/>
        </w:rPr>
        <w:t xml:space="preserve">—</w:t>
      </w:r>
      <w:r>
        <w:rPr/>
        <w:t xml:space="preserve">state appropriation is provided solely for the college bound scholarship program and the implementation of Engrossed Substitute Senate Bill No. 5954 (college affordability program).</w:t>
      </w:r>
    </w:p>
    <w:p>
      <w:pPr>
        <w:spacing w:before="0" w:after="0" w:line="408" w:lineRule="exact"/>
        <w:ind w:left="0" w:right="0" w:firstLine="576"/>
        <w:jc w:val="left"/>
      </w:pPr>
      <w:r>
        <w:rPr/>
        <w:t xml:space="preserve">(7) $20,000,000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(8) $3,825,000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$1,720,000 of the health professionals loan repayment and scholarship program account appropriation are provided solely to increase the number of licensed primary care health professionals to serve in licensed primary care health professional critical shortage areas.</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$54,923,000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$72,000</w:t>
      </w:r>
    </w:p>
    <w:p>
      <w:pPr>
        <w:tabs>
          <w:tab w:val="right" w:leader="dot" w:pos="9936"/>
        </w:tabs>
        <w:ind w:left="0" w:right="0" w:firstLine="1440"/>
      </w:pPr>
      <w:r>
        <w:rPr/>
        <w:t xml:space="preserve">TOTAL APPROPRIATION</w:t>
      </w:r>
      <w:r>
        <w:tab/>
      </w:r>
      <w:r>
        <w:rPr/>
        <w:t xml:space="preserve">$57,803,000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$290,969,000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$6,868,000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$25,228,000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$80,000,000</w:t>
      </w:r>
    </w:p>
    <w:p>
      <w:pPr>
        <w:tabs>
          <w:tab w:val="right" w:leader="dot" w:pos="9936"/>
        </w:tabs>
        <w:ind w:left="0" w:right="0" w:firstLine="1440"/>
      </w:pPr>
      <w:r>
        <w:rPr/>
        <w:t xml:space="preserve">TOTAL APPROPRIATION</w:t>
      </w:r>
      <w:r>
        <w:tab/>
      </w:r>
      <w:r>
        <w:rPr/>
        <w:t xml:space="preserve">$596,025,000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$51,630,000 of the general fund</w:t>
      </w:r>
      <w:r>
        <w:rPr>
          <w:rFonts w:ascii="Times New Roman" w:hAnsi="Times New Roman"/>
        </w:rPr>
        <w:t xml:space="preserve">—</w:t>
      </w:r>
      <w:r>
        <w:rPr/>
        <w:t xml:space="preserve">state appropriation for fiscal year 2016, $66,786,000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spacing w:before="0" w:after="0" w:line="408" w:lineRule="exact"/>
        <w:ind w:left="0" w:right="0" w:firstLine="576"/>
        <w:jc w:val="left"/>
      </w:pPr>
      <w:r>
        <w:rPr/>
        <w:t xml:space="preserve">(4) The amounts provided in this act for the working connections child care program assume that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spacing w:before="0" w:after="0" w:line="408" w:lineRule="exact"/>
        <w:ind w:left="0" w:right="0" w:firstLine="576"/>
        <w:jc w:val="left"/>
      </w:pPr>
      <w:r>
        <w:rPr/>
        <w:t xml:space="preserve">(5) $3,434,000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fiscal year 2017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$15,047,000 of the general fund</w:t>
      </w:r>
      <w:r>
        <w:rPr>
          <w:rFonts w:ascii="Times New Roman" w:hAnsi="Times New Roman"/>
        </w:rPr>
        <w:t xml:space="preserve">—</w:t>
      </w:r>
      <w:r>
        <w:rPr/>
        <w:t xml:space="preserve">state appropriation for fiscal year 2016, $36,113,000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implementation of Engrossed Second Substitute Senate Bill No. 5452 (early learning care and education system). If the bill is not enacted by June 30, 2015, the amounts provided in this subsection shall lapse.</w:t>
      </w:r>
    </w:p>
    <w:p>
      <w:pPr>
        <w:spacing w:before="0" w:after="0" w:line="408" w:lineRule="exact"/>
        <w:ind w:left="0" w:right="0" w:firstLine="576"/>
        <w:jc w:val="left"/>
      </w:pPr>
      <w:r>
        <w:rPr/>
        <w:t xml:space="preserve">(b) $50,807,000 of the amounts provided in (a) of this subsection is provided solely for the early achievers, quality rating, and improvement system, including ratings and training, coaching and technical assistance, quality improvement awards, staffing, and support. Within the amount provided in this subsection, the department shall create a single source web site to provide details on child care providers' early achievers rating level, licensing history, and other indicators of quality and safety.</w:t>
      </w:r>
    </w:p>
    <w:p>
      <w:pPr>
        <w:spacing w:before="0" w:after="0" w:line="408" w:lineRule="exact"/>
        <w:ind w:left="0" w:right="0" w:firstLine="576"/>
        <w:jc w:val="left"/>
      </w:pPr>
      <w:r>
        <w:rPr/>
        <w:t xml:space="preserve">(c) $12,449,000 of the amounts provided in (a) of this subsection is provided solely for professional development opportunities for early achiever program participants, including degree and retention incentives and scholarship and tuition reimbursement for costs associated with obtaining a degree or credential related to early childhood education, child development, or early care and education.</w:t>
      </w:r>
    </w:p>
    <w:p>
      <w:pPr>
        <w:spacing w:before="0" w:after="0" w:line="408" w:lineRule="exact"/>
        <w:ind w:left="0" w:right="0" w:firstLine="576"/>
        <w:jc w:val="left"/>
      </w:pPr>
      <w:r>
        <w:rPr/>
        <w:t xml:space="preserve">(d) $2,986,000 of the amounts provided in (a) of this subsection is provided solely for the reduction of barriers for low-income providers and programs, including the creation of a substitute pool, needs-based grants for curriculum, materials, supplies, and equipment, and development of materials and assessments in provider and family home languages.</w:t>
      </w:r>
    </w:p>
    <w:p>
      <w:pPr>
        <w:spacing w:before="0" w:after="0" w:line="408" w:lineRule="exact"/>
        <w:ind w:left="0" w:right="0" w:firstLine="576"/>
        <w:jc w:val="left"/>
      </w:pPr>
      <w:r>
        <w:rPr/>
        <w:t xml:space="preserve">(e) $2,916,000 of the amounts provided in (a) of this subsection is provided solely to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(f) $1,000,000 of the amounts provided in (a) of this subsection is provided solely to pilot implementation of the early achievers system for school-age child care providers.</w:t>
      </w:r>
    </w:p>
    <w:p>
      <w:pPr>
        <w:spacing w:before="0" w:after="0" w:line="408" w:lineRule="exact"/>
        <w:ind w:left="0" w:right="0" w:firstLine="576"/>
        <w:jc w:val="left"/>
      </w:pPr>
      <w:r>
        <w:rPr/>
        <w:t xml:space="preserve">(g) $5,321,000 of the amounts provided in (a) of this subsection is provided solely for the collection of longitudinal, student-level data on all children attending a working connections child care program or early childhood education and assistance program.</w:t>
      </w:r>
    </w:p>
    <w:p>
      <w:pPr>
        <w:spacing w:before="0" w:after="0" w:line="408" w:lineRule="exact"/>
        <w:ind w:left="0" w:right="0" w:firstLine="576"/>
        <w:jc w:val="left"/>
      </w:pPr>
      <w:r>
        <w:rPr/>
        <w:t xml:space="preserve">(h) $128,000 of the amounts provided in (a) of this subsection is provided solely for the early learning advisory council, early achievers review subcommittee to provide feedback and guidance on strategies to improve the quality of instruction and environment for early learning and provide recommendations on the implementation of the early achievers program.</w:t>
      </w:r>
    </w:p>
    <w:p>
      <w:pPr>
        <w:spacing w:before="0" w:after="0" w:line="408" w:lineRule="exact"/>
        <w:ind w:left="0" w:right="0" w:firstLine="576"/>
        <w:jc w:val="left"/>
      </w:pPr>
      <w:r>
        <w:rPr/>
        <w:t xml:space="preserve">(7)(a)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(8)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(10) $1,224,000 of the general fund</w:t>
      </w:r>
      <w:r>
        <w:rPr>
          <w:rFonts w:ascii="Times New Roman" w:hAnsi="Times New Roman"/>
        </w:rPr>
        <w:t xml:space="preserve">—</w:t>
      </w:r>
      <w:r>
        <w:rPr/>
        <w:t xml:space="preserve">state appropriation for fiscal year 2016, $1,929,000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(11) $2,522,000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$4,540,000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(12)(a)(i)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2015-16 school year. By October 2017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$12,616,000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$9,719,000</w:t>
      </w:r>
    </w:p>
    <w:p>
      <w:pPr>
        <w:tabs>
          <w:tab w:val="right" w:leader="dot" w:pos="9936"/>
        </w:tabs>
        <w:ind w:left="0" w:right="0" w:firstLine="1440"/>
      </w:pPr>
      <w:r>
        <w:rPr/>
        <w:t xml:space="preserve">TOTAL APPROPRIATION</w:t>
      </w:r>
      <w:r>
        <w:tab/>
      </w:r>
      <w:r>
        <w:rPr/>
        <w:t xml:space="preserve">$19,495,000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$18,000</w:t>
      </w:r>
    </w:p>
    <w:p>
      <w:pPr>
        <w:tabs>
          <w:tab w:val="right" w:leader="dot" w:pos="9936"/>
        </w:tabs>
        <w:ind w:left="0" w:right="0" w:firstLine="1440"/>
      </w:pPr>
      <w:r>
        <w:rPr/>
        <w:t xml:space="preserve">TOTAL APPROPRIATION</w:t>
      </w:r>
      <w:r>
        <w:tab/>
      </w:r>
      <w:r>
        <w:rPr/>
        <w:t xml:space="preserve">$4,298,000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$2,300,000</w:t>
      </w:r>
    </w:p>
    <w:p>
      <w:pPr>
        <w:tabs>
          <w:tab w:val="right" w:leader="dot" w:pos="9936"/>
        </w:tabs>
        <w:ind w:left="0" w:right="0" w:firstLine="1440"/>
      </w:pPr>
      <w:r>
        <w:rPr/>
        <w:t xml:space="preserve">TOTAL APPROPRIATION</w:t>
      </w:r>
      <w:r>
        <w:tab/>
      </w:r>
      <w:r>
        <w:rPr/>
        <w:t xml:space="preserve">$4,578,000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Funds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$1,701,000</w:t>
      </w:r>
    </w:p>
    <w:p>
      <w:pPr>
        <w:tabs>
          <w:tab w:val="right" w:leader="dot" w:pos="9936"/>
        </w:tabs>
        <w:ind w:left="0" w:right="0" w:firstLine="1440"/>
      </w:pPr>
      <w:r>
        <w:rPr/>
        <w:t xml:space="preserve">TOTAL APPROPRIATION</w:t>
      </w:r>
      <w:r>
        <w:tab/>
      </w:r>
      <w:r>
        <w:rPr/>
        <w:t xml:space="preserve">$3,344,000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$10,029,000</w:t>
      </w:r>
    </w:p>
    <w:p>
      <w:pPr>
        <w:tabs>
          <w:tab w:val="right" w:leader="dot" w:pos="9936"/>
        </w:tabs>
        <w:ind w:left="0" w:right="0" w:firstLine="1440"/>
      </w:pPr>
      <w:r>
        <w:rPr/>
        <w:t xml:space="preserve">TOTAL APPROPRIATION</w:t>
      </w:r>
      <w:r>
        <w:tab/>
      </w:r>
      <w:r>
        <w:rPr/>
        <w:t xml:space="preserve">$89,735,000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SIT-2015, dated March 27, 2015, which is hereby incorporated by reference. To facilitate the transfer of moneys from other funds and accounts that are associated with projects contained in LEAP omnibus document SIT-2015, dated March 27, 2015, the state treasurer is directed to transfer moneys from other funds and accounts in an amount not to exceed $10,029,000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 Preference must be given to projects that utilize commercial off-the-shelf or software as a service technology solution. </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SIT-2015, dated March 27,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w:t>
      </w:r>
      <w:r>
        <w:rPr>
          <w:rFonts w:ascii="Times New Roman" w:hAnsi="Times New Roman"/>
          <w:b/>
        </w:rPr>
        <w:t xml:space="preserve">—</w:t>
      </w:r>
      <w:r>
        <w:rPr>
          <w:b/>
        </w:rPr>
        <w:t xml:space="preserve">RATE ADJUSTMENT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spacing w:before="0" w:after="0" w:line="408" w:lineRule="exact"/>
        <w:ind w:left="0" w:right="0" w:firstLine="0"/>
        <w:jc w:val="left"/>
        <w:tabs>
          <w:tab w:val="right" w:leader="dot" w:pos="9936"/>
        </w:tabs>
      </w:pPr>
      <w:r>
        <w:rPr/>
        <w:t xml:space="preserve">Other Appropriated Funds</w:t>
      </w:r>
      <w:r>
        <w:tab/>
      </w:r>
      <w:r>
        <w:rPr/>
        <w:t xml:space="preserve">($296,000)</w:t>
      </w:r>
    </w:p>
    <w:p>
      <w:pPr>
        <w:tabs>
          <w:tab w:val="right" w:leader="dot" w:pos="9936"/>
        </w:tabs>
        <w:ind w:left="0" w:right="0" w:firstLine="1440"/>
      </w:pPr>
      <w:r>
        <w:rPr/>
        <w:t xml:space="preserve">TOTAL APPROPRIATION</w:t>
      </w:r>
      <w:r>
        <w:tab/>
      </w:r>
      <w:r>
        <w:rPr/>
        <w:t xml:space="preserve">($398,000)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92B-2015,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w:t>
      </w:r>
      <w:r>
        <w:tab/>
      </w:r>
      <w:r>
        <w:rPr/>
        <w:t xml:space="preserve">$62,000</w:t>
      </w:r>
    </w:p>
    <w:p>
      <w:pPr>
        <w:tabs>
          <w:tab w:val="right" w:leader="dot" w:pos="9936"/>
        </w:tabs>
        <w:ind w:left="0" w:right="0" w:firstLine="1440"/>
      </w:pPr>
      <w:r>
        <w:rPr/>
        <w:t xml:space="preserve">TOTAL APPROPRIATION</w:t>
      </w:r>
      <w:r>
        <w:tab/>
      </w:r>
      <w:r>
        <w:rPr/>
        <w:t xml:space="preserve">$236,000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($14,000)</w:t>
      </w:r>
    </w:p>
    <w:p>
      <w:pPr>
        <w:tabs>
          <w:tab w:val="right" w:leader="dot" w:pos="9936"/>
        </w:tabs>
        <w:ind w:left="0" w:right="0" w:firstLine="1440"/>
      </w:pPr>
      <w:r>
        <w:rPr/>
        <w:t xml:space="preserve">TOTAL APPROPRIATION</w:t>
      </w:r>
      <w:r>
        <w:tab/>
      </w:r>
      <w:r>
        <w:rPr/>
        <w:t xml:space="preserve">($48,000)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$58,000</w:t>
      </w:r>
    </w:p>
    <w:p>
      <w:pPr>
        <w:spacing w:before="0" w:after="0" w:line="408" w:lineRule="exact"/>
        <w:ind w:left="0" w:right="0" w:firstLine="0"/>
        <w:jc w:val="left"/>
        <w:tabs>
          <w:tab w:val="right" w:leader="dot" w:pos="9936"/>
        </w:tabs>
      </w:pPr>
      <w:r>
        <w:rPr/>
        <w:t xml:space="preserve">Other Appropriated Funds</w:t>
      </w:r>
      <w:r>
        <w:tab/>
      </w:r>
      <w:r>
        <w:rPr/>
        <w:t xml:space="preserve">$3,491,000</w:t>
      </w:r>
    </w:p>
    <w:p>
      <w:pPr>
        <w:tabs>
          <w:tab w:val="right" w:leader="dot" w:pos="9936"/>
        </w:tabs>
        <w:ind w:left="0" w:right="0" w:firstLine="1440"/>
      </w:pPr>
      <w:r>
        <w:rPr/>
        <w:t xml:space="preserve">TOTAL APPROPRIATION</w:t>
      </w:r>
      <w:r>
        <w:tab/>
      </w:r>
      <w:r>
        <w:rPr/>
        <w:t xml:space="preserve">$10,536,000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spacing w:before="0" w:after="0" w:line="408" w:lineRule="exact"/>
        <w:ind w:left="0" w:right="0" w:firstLine="0"/>
        <w:jc w:val="left"/>
        <w:tabs>
          <w:tab w:val="right" w:leader="dot" w:pos="9936"/>
        </w:tabs>
      </w:pPr>
      <w:r>
        <w:rPr/>
        <w:t xml:space="preserve">Other Appropriated Funds</w:t>
      </w:r>
      <w:r>
        <w:tab/>
      </w:r>
      <w:r>
        <w:rPr/>
        <w:t xml:space="preserve">$238,000</w:t>
      </w:r>
    </w:p>
    <w:p>
      <w:pPr>
        <w:tabs>
          <w:tab w:val="right" w:leader="dot" w:pos="9936"/>
        </w:tabs>
        <w:ind w:left="0" w:right="0" w:firstLine="1440"/>
      </w:pPr>
      <w:r>
        <w:rPr/>
        <w:t xml:space="preserve">TOTAL APPROPRIATION</w:t>
      </w:r>
      <w:r>
        <w:tab/>
      </w:r>
      <w:r>
        <w:rPr/>
        <w:t xml:space="preserve">$701,000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($206,000)</w:t>
      </w:r>
    </w:p>
    <w:p>
      <w:pPr>
        <w:tabs>
          <w:tab w:val="right" w:leader="dot" w:pos="9936"/>
        </w:tabs>
        <w:ind w:left="0" w:right="0" w:firstLine="1440"/>
      </w:pPr>
      <w:r>
        <w:rPr/>
        <w:t xml:space="preserve">TOTAL APPROPRIATION</w:t>
      </w:r>
      <w:r>
        <w:tab/>
      </w:r>
      <w:r>
        <w:rPr/>
        <w:t xml:space="preserve">($461,000)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r>
        <w:rPr/>
        <w:t xml:space="preserve">Other Appropriated Funds</w:t>
      </w:r>
      <w:r>
        <w:tab/>
      </w:r>
      <w:r>
        <w:rPr/>
        <w:t xml:space="preserve">$845,000</w:t>
      </w:r>
    </w:p>
    <w:p>
      <w:pPr>
        <w:tabs>
          <w:tab w:val="right" w:leader="dot" w:pos="9936"/>
        </w:tabs>
        <w:ind w:left="0" w:right="0" w:firstLine="1440"/>
      </w:pPr>
      <w:r>
        <w:rPr/>
        <w:t xml:space="preserve">TOTAL APPROPRIATION</w:t>
      </w:r>
      <w:r>
        <w:tab/>
      </w:r>
      <w:r>
        <w:rPr/>
        <w:t xml:space="preserve">$2,808,000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$51,000</w:t>
      </w:r>
    </w:p>
    <w:p>
      <w:pPr>
        <w:spacing w:before="0" w:after="0" w:line="408" w:lineRule="exact"/>
        <w:ind w:left="0" w:right="0" w:firstLine="0"/>
        <w:jc w:val="left"/>
        <w:tabs>
          <w:tab w:val="right" w:leader="dot" w:pos="9936"/>
        </w:tabs>
      </w:pPr>
      <w:r>
        <w:rPr/>
        <w:t xml:space="preserve">Other Appropriated Funds</w:t>
      </w:r>
      <w:r>
        <w:tab/>
      </w:r>
      <w:r>
        <w:rPr/>
        <w:t xml:space="preserve">$1,687,000</w:t>
      </w:r>
    </w:p>
    <w:p>
      <w:pPr>
        <w:tabs>
          <w:tab w:val="right" w:leader="dot" w:pos="9936"/>
        </w:tabs>
        <w:ind w:left="0" w:right="0" w:firstLine="1440"/>
      </w:pPr>
      <w:r>
        <w:rPr/>
        <w:t xml:space="preserve">TOTAL APPROPRIATION</w:t>
      </w:r>
      <w:r>
        <w:tab/>
      </w:r>
      <w:r>
        <w:rPr/>
        <w:t xml:space="preserve">$2,743,000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PROGRAM RATE REDUCTION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($22,000)</w:t>
      </w:r>
    </w:p>
    <w:p>
      <w:pPr>
        <w:spacing w:before="0" w:after="0" w:line="408" w:lineRule="exact"/>
        <w:ind w:left="0" w:right="0" w:firstLine="0"/>
        <w:jc w:val="left"/>
        <w:tabs>
          <w:tab w:val="right" w:leader="dot" w:pos="9936"/>
        </w:tabs>
      </w:pPr>
      <w:r>
        <w:rPr/>
        <w:t xml:space="preserve">Other Appropriated Funds</w:t>
      </w:r>
      <w:r>
        <w:tab/>
      </w:r>
      <w:r>
        <w:rPr/>
        <w:t xml:space="preserve">($272,000)</w:t>
      </w:r>
    </w:p>
    <w:p>
      <w:pPr>
        <w:tabs>
          <w:tab w:val="right" w:leader="dot" w:pos="9936"/>
        </w:tabs>
        <w:ind w:left="0" w:right="0" w:firstLine="1440"/>
      </w:pPr>
      <w:r>
        <w:rPr/>
        <w:t xml:space="preserve">TOTAL APPROPRIATION</w:t>
      </w:r>
      <w:r>
        <w:tab/>
      </w:r>
      <w:r>
        <w:rPr/>
        <w:t xml:space="preserve">($710,000)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efficiencies and reduced costs for the department of enterprise services' fleet program charges to state agencies. The office of financial management shall adjust allotments in the amounts specified, and to the state agencies specified in LEAP omnibus document 92P-2015,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$96,000</w:t>
      </w:r>
    </w:p>
    <w:p>
      <w:pPr>
        <w:spacing w:before="0" w:after="0" w:line="408" w:lineRule="exact"/>
        <w:ind w:left="0" w:right="0" w:firstLine="0"/>
        <w:jc w:val="left"/>
        <w:tabs>
          <w:tab w:val="right" w:leader="dot" w:pos="9936"/>
        </w:tabs>
      </w:pPr>
      <w:r>
        <w:rPr/>
        <w:t xml:space="preserve">Other Appropriated Funds</w:t>
      </w:r>
      <w:r>
        <w:tab/>
      </w:r>
      <w:r>
        <w:rPr/>
        <w:t xml:space="preserve">$1,446,000</w:t>
      </w:r>
    </w:p>
    <w:p>
      <w:pPr>
        <w:tabs>
          <w:tab w:val="right" w:leader="dot" w:pos="9936"/>
        </w:tabs>
        <w:ind w:left="0" w:right="0" w:firstLine="1440"/>
      </w:pPr>
      <w:r>
        <w:rPr/>
        <w:t xml:space="preserve">TOTAL APPROPRIATION</w:t>
      </w:r>
      <w:r>
        <w:tab/>
      </w:r>
      <w:r>
        <w:rPr/>
        <w:t xml:space="preserve">$9,364,000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($13,000)</w:t>
      </w:r>
    </w:p>
    <w:p>
      <w:pPr>
        <w:spacing w:before="0" w:after="0" w:line="408" w:lineRule="exact"/>
        <w:ind w:left="0" w:right="0" w:firstLine="0"/>
        <w:jc w:val="left"/>
        <w:tabs>
          <w:tab w:val="right" w:leader="dot" w:pos="9936"/>
        </w:tabs>
      </w:pPr>
      <w:r>
        <w:rPr/>
        <w:t xml:space="preserve">Other Appropriated Funds</w:t>
      </w:r>
      <w:r>
        <w:tab/>
      </w:r>
      <w:r>
        <w:rPr/>
        <w:t xml:space="preserve">($456,000)</w:t>
      </w:r>
    </w:p>
    <w:p>
      <w:pPr>
        <w:tabs>
          <w:tab w:val="right" w:leader="dot" w:pos="9936"/>
        </w:tabs>
        <w:ind w:left="0" w:right="0" w:firstLine="1440"/>
      </w:pPr>
      <w:r>
        <w:rPr/>
        <w:t xml:space="preserve">TOTAL APPROPRIATION</w:t>
      </w:r>
      <w:r>
        <w:tab/>
      </w:r>
      <w:r>
        <w:rPr/>
        <w:t xml:space="preserve">($9,492,000)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home visiting services account to support the expansion of home visiting services within the department of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$67,900,000</w:t>
      </w:r>
    </w:p>
    <w:p>
      <w:pPr>
        <w:tabs>
          <w:tab w:val="right" w:leader="dot" w:pos="9936"/>
        </w:tabs>
        <w:ind w:left="0" w:right="0" w:firstLine="1440"/>
      </w:pPr>
      <w:r>
        <w:rPr/>
        <w:t xml:space="preserve">TOTAL APPROPRIATION</w:t>
      </w:r>
      <w:r>
        <w:tab/>
      </w:r>
      <w:r>
        <w:rPr/>
        <w:t xml:space="preserve">$132,700,000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($26,047,000)</w:t>
      </w:r>
    </w:p>
    <w:p>
      <w:pPr>
        <w:tabs>
          <w:tab w:val="right" w:leader="dot" w:pos="9936"/>
        </w:tabs>
        <w:ind w:left="0" w:right="0" w:firstLine="1440"/>
      </w:pPr>
      <w:r>
        <w:rPr/>
        <w:t xml:space="preserve">TOTAL APPROPRIATION</w:t>
      </w:r>
      <w:r>
        <w:tab/>
      </w:r>
      <w:r>
        <w:rPr/>
        <w:t xml:space="preserve">($48,627,000)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is committed to making continuous improvement part of the culture of state government.</w:t>
      </w:r>
    </w:p>
    <w:p>
      <w:pPr>
        <w:spacing w:before="0" w:after="0" w:line="408" w:lineRule="exact"/>
        <w:ind w:left="0" w:right="0" w:firstLine="576"/>
        <w:jc w:val="left"/>
      </w:pPr>
      <w:r>
        <w:rPr/>
        <w:t xml:space="preserve">(2) Engrossed Second Substitute Senate Bill No. 5737 (government performance and accountability) establishes the office of performance management to provide coordination and oversight of those activities that are designed to drive efficiencies in state spending and increase productivity of state employees while improving and increasing state services for taxpayers.</w:t>
      </w:r>
    </w:p>
    <w:p>
      <w:pPr>
        <w:spacing w:before="0" w:after="0" w:line="408" w:lineRule="exact"/>
        <w:ind w:left="0" w:right="0" w:firstLine="576"/>
        <w:jc w:val="left"/>
      </w:pPr>
      <w:r>
        <w:rPr/>
        <w:t xml:space="preserve">(3) The office of performance management shall develop a plan to achieve at least the amount of savings specified in this section. Based on this plan, the office of financial management must reduce allotments for affected state agencies by at least $22,580,000 from the state general fund appropriations for fiscal year 2016 and $26,047,000 from the state general fund appropriations for fiscal year 2017 in this act to reflect savings resulting from application of the lean management and performance management strategies required by this section and Engrossed Second Substitute Senate Bill No. 5737 (government performance and accountability). The allotment reductions shall be placed in unallotted status and remain unexpended.</w:t>
      </w:r>
    </w:p>
    <w:p>
      <w:pPr>
        <w:spacing w:before="0" w:after="0" w:line="408" w:lineRule="exact"/>
        <w:ind w:left="0" w:right="0" w:firstLine="576"/>
        <w:jc w:val="left"/>
      </w:pPr>
      <w:r>
        <w:rPr/>
        <w:t xml:space="preserve">(4) The office of performance management and the office of the chief information officer must integrate lean principles into all major information technology initiatives.</w:t>
      </w:r>
    </w:p>
    <w:p>
      <w:pPr>
        <w:spacing w:before="0" w:after="0" w:line="408" w:lineRule="exact"/>
        <w:ind w:left="0" w:right="0" w:firstLine="576"/>
        <w:jc w:val="left"/>
      </w:pPr>
      <w:r>
        <w:rPr/>
        <w:t xml:space="preserve">(5) The office of performance management must compile and transmit a progress report to the appropriate fiscal committees of the legislature at least every six months,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$246,000 to Clallam county and $154,000 to Mason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Substitute Senate Bill No. 6062 (marijuana revenue).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If Engrossed Substitute Senate Bill No. 5843 (outdoor recreation)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$18,067,000</w:t>
      </w:r>
    </w:p>
    <w:p>
      <w:pPr>
        <w:spacing w:before="120" w:after="0" w:line="408" w:lineRule="exact"/>
        <w:ind w:left="0" w:right="0" w:firstLine="576"/>
        <w:jc w:val="left"/>
      </w:pPr>
      <w:r>
        <w:rPr/>
        <w:t xml:space="preserve">The appropriation in this subsection is provided solely for the implementation of Senate Bill No. 5976 (creating a statewide consolidated health benefits program for school district employees).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$1,584,000</w:t>
      </w:r>
    </w:p>
    <w:p>
      <w:pPr>
        <w:spacing w:before="120" w:after="0" w:line="408" w:lineRule="exact"/>
        <w:ind w:left="0" w:right="0" w:firstLine="576"/>
        <w:jc w:val="left"/>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$725,000</w:t>
      </w:r>
    </w:p>
    <w:p>
      <w:pPr>
        <w:spacing w:before="0" w:after="0" w:line="408" w:lineRule="exact"/>
        <w:ind w:left="0" w:right="0" w:firstLine="0"/>
        <w:jc w:val="left"/>
        <w:tabs>
          <w:tab w:val="right" w:leader="dot" w:pos="9936"/>
        </w:tabs>
      </w:pPr>
      <w:r>
        <w:rPr/>
        <w:t xml:space="preserve">Other Dedicated Funds</w:t>
      </w:r>
      <w:r>
        <w:tab/>
      </w:r>
      <w:r>
        <w:rPr/>
        <w:t xml:space="preserve">$9,957,000</w:t>
      </w:r>
    </w:p>
    <w:p>
      <w:pPr>
        <w:tabs>
          <w:tab w:val="right" w:leader="dot" w:pos="9936"/>
        </w:tabs>
        <w:ind w:left="0" w:right="0" w:firstLine="1440"/>
      </w:pPr>
      <w:r>
        <w:rPr/>
        <w:t xml:space="preserve">TOTAL APPROPRIATION</w:t>
      </w:r>
      <w:r>
        <w:tab/>
      </w:r>
      <w:r>
        <w:rPr/>
        <w:t xml:space="preserve">$42,396,000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represented employee insurance benefits consistent with the contribution rates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$191,000</w:t>
      </w:r>
    </w:p>
    <w:p>
      <w:pPr>
        <w:spacing w:before="0" w:after="0" w:line="408" w:lineRule="exact"/>
        <w:ind w:left="0" w:right="0" w:firstLine="0"/>
        <w:jc w:val="left"/>
        <w:tabs>
          <w:tab w:val="right" w:leader="dot" w:pos="9936"/>
        </w:tabs>
      </w:pPr>
      <w:r>
        <w:rPr/>
        <w:t xml:space="preserve">Other Dedicated Funds</w:t>
      </w:r>
      <w:r>
        <w:tab/>
      </w:r>
      <w:r>
        <w:rPr/>
        <w:t xml:space="preserve">$4,484,000</w:t>
      </w:r>
    </w:p>
    <w:p>
      <w:pPr>
        <w:tabs>
          <w:tab w:val="right" w:leader="dot" w:pos="9936"/>
        </w:tabs>
        <w:ind w:left="0" w:right="0" w:firstLine="1440"/>
      </w:pPr>
      <w:r>
        <w:rPr/>
        <w:t xml:space="preserve">TOTAL APPROPRIATION</w:t>
      </w:r>
      <w:r>
        <w:tab/>
      </w:r>
      <w:r>
        <w:rPr/>
        <w:t xml:space="preserve">$13,649,000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nonrepresented employee insurance benefits consistent with the contribution rates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$2,840,000</w:t>
      </w:r>
    </w:p>
    <w:p>
      <w:pPr>
        <w:spacing w:before="0" w:after="0" w:line="408" w:lineRule="exact"/>
        <w:ind w:left="0" w:right="0" w:firstLine="0"/>
        <w:jc w:val="left"/>
        <w:tabs>
          <w:tab w:val="right" w:leader="dot" w:pos="9936"/>
        </w:tabs>
      </w:pPr>
      <w:r>
        <w:rPr/>
        <w:t xml:space="preserve">Other Dedicated Funds</w:t>
      </w:r>
      <w:r>
        <w:tab/>
      </w:r>
      <w:r>
        <w:rPr/>
        <w:t xml:space="preserve">$93,000</w:t>
      </w:r>
    </w:p>
    <w:p>
      <w:pPr>
        <w:tabs>
          <w:tab w:val="right" w:leader="dot" w:pos="9936"/>
        </w:tabs>
        <w:ind w:left="0" w:right="0" w:firstLine="1440"/>
      </w:pPr>
      <w:r>
        <w:rPr/>
        <w:t xml:space="preserve">TOTAL APPROPRIATION</w:t>
      </w:r>
      <w:r>
        <w:tab/>
      </w:r>
      <w:r>
        <w:rPr/>
        <w:t xml:space="preserve">$4,333,000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institution appropriations for higher education institution represented employee insurance benefits consistent with the contribution rates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higher education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Fund—State Appropriation (FY 2016)</w:t>
      </w:r>
      <w:r>
        <w:tab/>
      </w:r>
      <w:r>
        <w:rPr/>
        <w:t xml:space="preserve">$3,632,000</w:t>
      </w:r>
    </w:p>
    <w:p>
      <w:pPr>
        <w:spacing w:before="0" w:after="0" w:line="408" w:lineRule="exact"/>
        <w:ind w:left="0" w:right="0" w:firstLine="0"/>
        <w:jc w:val="left"/>
        <w:tabs>
          <w:tab w:val="right" w:leader="dot" w:pos="9936"/>
        </w:tabs>
      </w:pPr>
      <w:r>
        <w:rPr/>
        <w:t xml:space="preserve">General Fund—State Appropriation (FY 2017)</w:t>
      </w:r>
      <w:r>
        <w:tab/>
      </w:r>
      <w:r>
        <w:rPr/>
        <w:t xml:space="preserve">$7,664,000</w:t>
      </w:r>
    </w:p>
    <w:p>
      <w:pPr>
        <w:spacing w:before="0" w:after="0" w:line="408" w:lineRule="exact"/>
        <w:ind w:left="0" w:right="0" w:firstLine="0"/>
        <w:jc w:val="left"/>
        <w:tabs>
          <w:tab w:val="right" w:leader="dot" w:pos="9936"/>
        </w:tabs>
      </w:pPr>
      <w:r>
        <w:rPr/>
        <w:t xml:space="preserve">General Fund—Federal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Salary and Insurance Increase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$209,000</w:t>
      </w:r>
    </w:p>
    <w:p>
      <w:pPr>
        <w:tabs>
          <w:tab w:val="right" w:leader="dot" w:pos="9936"/>
        </w:tabs>
        <w:ind w:left="0" w:right="0" w:firstLine="1440"/>
      </w:pPr>
      <w:r>
        <w:rPr/>
        <w:t xml:space="preserve">TOTAL APPROPRIATION</w:t>
      </w:r>
      <w:r>
        <w:tab/>
      </w:r>
      <w:r>
        <w:rPr/>
        <w:t xml:space="preserve">$11,522,000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institution appropriations for higher education institution nonrepresented employee insurance benefits consistent with the contribution rates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Fund—State Appropriation (FY 2016)</w:t>
      </w:r>
      <w:r>
        <w:tab/>
      </w:r>
      <w:r>
        <w:rPr/>
        <w:t xml:space="preserve">($20,721,000)</w:t>
      </w:r>
    </w:p>
    <w:p>
      <w:pPr>
        <w:spacing w:before="0" w:after="0" w:line="408" w:lineRule="exact"/>
        <w:ind w:left="0" w:right="0" w:firstLine="0"/>
        <w:jc w:val="left"/>
        <w:tabs>
          <w:tab w:val="right" w:leader="dot" w:pos="9936"/>
        </w:tabs>
      </w:pPr>
      <w:r>
        <w:rPr/>
        <w:t xml:space="preserve">General Fund—State Appropriation (FY 2017)</w:t>
      </w:r>
      <w:r>
        <w:tab/>
      </w:r>
      <w:r>
        <w:rPr/>
        <w:t xml:space="preserve">($4,747,000)</w:t>
      </w:r>
    </w:p>
    <w:p>
      <w:pPr>
        <w:spacing w:before="0" w:after="0" w:line="408" w:lineRule="exact"/>
        <w:ind w:left="0" w:right="0" w:firstLine="0"/>
        <w:jc w:val="left"/>
        <w:tabs>
          <w:tab w:val="right" w:leader="dot" w:pos="9936"/>
        </w:tabs>
      </w:pPr>
      <w:r>
        <w:rPr/>
        <w:t xml:space="preserve">General Fund—Federal Appropriation</w:t>
      </w:r>
      <w:r>
        <w:tab/>
      </w:r>
      <w:r>
        <w:rPr/>
        <w:t xml:space="preserve">($4,732,000)</w:t>
      </w:r>
    </w:p>
    <w:p>
      <w:pPr>
        <w:spacing w:before="0" w:after="0" w:line="408" w:lineRule="exact"/>
        <w:ind w:left="0" w:right="0" w:firstLine="0"/>
        <w:jc w:val="left"/>
        <w:tabs>
          <w:tab w:val="right" w:leader="dot" w:pos="9936"/>
        </w:tabs>
      </w:pPr>
      <w:r>
        <w:rPr/>
        <w:t xml:space="preserve">General Fund—Private/Local Appropriation</w:t>
      </w:r>
      <w:r>
        <w:tab/>
      </w:r>
      <w:r>
        <w:rPr/>
        <w:t xml:space="preserve">($488,000)</w:t>
      </w:r>
    </w:p>
    <w:p>
      <w:pPr>
        <w:spacing w:before="0" w:after="0" w:line="408" w:lineRule="exact"/>
        <w:ind w:left="0" w:right="0" w:firstLine="0"/>
        <w:jc w:val="left"/>
        <w:tabs>
          <w:tab w:val="right" w:leader="dot" w:pos="9936"/>
        </w:tabs>
      </w:pPr>
      <w:r>
        <w:rPr/>
        <w:t xml:space="preserve">Other Dedicated Funds Appropriation</w:t>
      </w:r>
      <w:r>
        <w:tab/>
      </w:r>
      <w:r>
        <w:rPr/>
        <w:t xml:space="preserve">($7,929,000)</w:t>
      </w:r>
    </w:p>
    <w:p>
      <w:pPr>
        <w:tabs>
          <w:tab w:val="right" w:leader="dot" w:pos="9936"/>
        </w:tabs>
        <w:ind w:left="0" w:right="0" w:firstLine="1440"/>
      </w:pPr>
      <w:r>
        <w:rPr/>
        <w:t xml:space="preserve">TOTAL APPROPRIATION</w:t>
      </w:r>
      <w:r>
        <w:tab/>
      </w:r>
      <w:r>
        <w:rPr/>
        <w:t xml:space="preserve">($38,617,000)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reduced state employer funding rates for health insurance, and decreased employer health insurance costs due to lower claims experience and other factors, consistent with the provisions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($795,000)</w:t>
      </w:r>
    </w:p>
    <w:p>
      <w:pPr>
        <w:spacing w:before="0" w:after="0" w:line="408" w:lineRule="exact"/>
        <w:ind w:left="0" w:right="0" w:firstLine="0"/>
        <w:jc w:val="left"/>
        <w:tabs>
          <w:tab w:val="right" w:leader="dot" w:pos="9936"/>
        </w:tabs>
      </w:pPr>
      <w:r>
        <w:rPr/>
        <w:t xml:space="preserve">Other Dedicated Funds Appropriation</w:t>
      </w:r>
      <w:r>
        <w:tab/>
      </w:r>
      <w:r>
        <w:rPr/>
        <w:t xml:space="preserve">($12,848,000)</w:t>
      </w:r>
    </w:p>
    <w:p>
      <w:pPr>
        <w:tabs>
          <w:tab w:val="right" w:leader="dot" w:pos="9936"/>
        </w:tabs>
        <w:ind w:left="0" w:right="0" w:firstLine="1440"/>
      </w:pPr>
      <w:r>
        <w:rPr/>
        <w:t xml:space="preserve">TOTAL APPROPRIATION</w:t>
      </w:r>
      <w:r>
        <w:tab/>
      </w:r>
      <w:r>
        <w:rPr/>
        <w:t xml:space="preserve">($61,527,000)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limiting coverage of employee spouses and domestic partners to those not eligible for health benefits through their employers, consistent with the provisions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($243,000)</w:t>
      </w:r>
    </w:p>
    <w:p>
      <w:pPr>
        <w:spacing w:before="0" w:after="0" w:line="408" w:lineRule="exact"/>
        <w:ind w:left="0" w:right="0" w:firstLine="0"/>
        <w:jc w:val="left"/>
        <w:tabs>
          <w:tab w:val="right" w:leader="dot" w:pos="9936"/>
        </w:tabs>
      </w:pPr>
      <w:r>
        <w:rPr/>
        <w:t xml:space="preserve">Other Dedicated Funds Appropriation</w:t>
      </w:r>
      <w:r>
        <w:tab/>
      </w:r>
      <w:r>
        <w:rPr/>
        <w:t xml:space="preserve">($4,179,000)</w:t>
      </w:r>
    </w:p>
    <w:p>
      <w:pPr>
        <w:tabs>
          <w:tab w:val="right" w:leader="dot" w:pos="9936"/>
        </w:tabs>
        <w:ind w:left="0" w:right="0" w:firstLine="1440"/>
      </w:pPr>
      <w:r>
        <w:rPr/>
        <w:t xml:space="preserve">TOTAL APPROPRIATION</w:t>
      </w:r>
      <w:r>
        <w:tab/>
      </w:r>
      <w:r>
        <w:rPr/>
        <w:t xml:space="preserve">($19,278,000)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providing a $110 per month subsidy for medicare retirees enrolled in public employees benefits board health plans, consistent with the provisions included in sections 916, 917, and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$2,669,000</w:t>
      </w:r>
    </w:p>
    <w:p>
      <w:pPr>
        <w:spacing w:before="0" w:after="0" w:line="408" w:lineRule="exact"/>
        <w:ind w:left="0" w:right="0" w:firstLine="0"/>
        <w:jc w:val="left"/>
        <w:tabs>
          <w:tab w:val="right" w:leader="dot" w:pos="9936"/>
        </w:tabs>
      </w:pPr>
      <w:r>
        <w:rPr/>
        <w:t xml:space="preserve">Dedicated Funds and Accounts Appropriation</w:t>
      </w:r>
      <w:r>
        <w:tab/>
      </w:r>
      <w:r>
        <w:rPr/>
        <w:t xml:space="preserve">$40,903,000</w:t>
      </w:r>
    </w:p>
    <w:p>
      <w:pPr>
        <w:tabs>
          <w:tab w:val="right" w:leader="dot" w:pos="9936"/>
        </w:tabs>
        <w:ind w:left="0" w:right="0" w:firstLine="1440"/>
      </w:pPr>
      <w:r>
        <w:rPr/>
        <w:t xml:space="preserve">TOTAL APPROPRIATION</w:t>
      </w:r>
      <w:r>
        <w:tab/>
      </w:r>
      <w:r>
        <w:rPr/>
        <w:t xml:space="preserve">$165,497,000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a one thousand dollar annual wage increase effective July 1, 2015, and an additional one thousand dollar annual wage increase beginning July 1, 2016, for all full-time state agency employees including all represented and nonrepresented state agency classified employees, Washington management service and exempt employees under the jurisdiction of the office of financial management, Washington state patrol officers, and executive, legislative, and judicial branch employees exempt from merit system rules, whose maximum salaries are not set by the commission on salaries for elected officials. Pro-rated increases are provided for part-time employees.</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TARGETED COMPENSATION INCREASES</w:t>
      </w:r>
    </w:p>
    <w:p>
      <w:pPr>
        <w:spacing w:before="0" w:after="0" w:line="408" w:lineRule="exact"/>
        <w:ind w:left="0" w:right="0" w:firstLine="0"/>
        <w:jc w:val="left"/>
        <w:tabs>
          <w:tab w:val="right" w:leader="dot" w:pos="9936"/>
        </w:tabs>
      </w:pPr>
      <w:r>
        <w:rPr/>
        <w:t xml:space="preserve">General Fund—State Appropriation (FY 2016)</w:t>
      </w:r>
      <w:r>
        <w:tab/>
      </w:r>
      <w:r>
        <w:rPr/>
        <w:t xml:space="preserve">$5,500,000</w:t>
      </w:r>
    </w:p>
    <w:p>
      <w:pPr>
        <w:spacing w:before="0" w:after="0" w:line="408" w:lineRule="exact"/>
        <w:ind w:left="0" w:right="0" w:firstLine="0"/>
        <w:jc w:val="left"/>
        <w:tabs>
          <w:tab w:val="right" w:leader="dot" w:pos="9936"/>
        </w:tabs>
      </w:pPr>
      <w:r>
        <w:rPr/>
        <w:t xml:space="preserve">General Fund—State Appropriation (FY 2017)</w:t>
      </w:r>
      <w:r>
        <w:tab/>
      </w:r>
      <w:r>
        <w:rPr/>
        <w:t xml:space="preserve">$5,500,000</w:t>
      </w:r>
    </w:p>
    <w:p>
      <w:pPr>
        <w:spacing w:before="0" w:after="0" w:line="408" w:lineRule="exact"/>
        <w:ind w:left="0" w:right="0" w:firstLine="0"/>
        <w:jc w:val="left"/>
        <w:tabs>
          <w:tab w:val="right" w:leader="dot" w:pos="9936"/>
        </w:tabs>
      </w:pPr>
      <w:r>
        <w:rPr/>
        <w:t xml:space="preserve">Dedicated Funds and Accounts Appropriation</w:t>
      </w:r>
      <w:r>
        <w:tab/>
      </w:r>
      <w:r>
        <w:rPr/>
        <w:t xml:space="preserve">$19,000,000</w:t>
      </w:r>
    </w:p>
    <w:p>
      <w:pPr>
        <w:tabs>
          <w:tab w:val="right" w:leader="dot" w:pos="9936"/>
        </w:tabs>
        <w:ind w:left="0" w:right="0" w:firstLine="1440"/>
      </w:pPr>
      <w:r>
        <w:rPr/>
        <w:t xml:space="preserve">TOTAL APPROPRIATIONS</w:t>
      </w:r>
      <w:r>
        <w:tab/>
      </w:r>
      <w:r>
        <w:rPr/>
        <w:t xml:space="preserve">$30,000,000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$2,750,000 of the general fund</w:t>
      </w:r>
      <w:r>
        <w:rPr>
          <w:rFonts w:ascii="Times New Roman" w:hAnsi="Times New Roman"/>
        </w:rPr>
        <w:t xml:space="preserve">—</w:t>
      </w:r>
      <w:r>
        <w:rPr/>
        <w:t xml:space="preserve">state appropriation for fiscal year 2016 and $2,750,000 of the general fund</w:t>
      </w:r>
      <w:r>
        <w:rPr>
          <w:rFonts w:ascii="Times New Roman" w:hAnsi="Times New Roman"/>
        </w:rPr>
        <w:t xml:space="preserve">—</w:t>
      </w:r>
      <w:r>
        <w:rPr/>
        <w:t xml:space="preserve">state appropriation for fiscal year 2017 are provided solely for recruitment and retention salary adjustments for classified job classes.</w:t>
      </w:r>
    </w:p>
    <w:p>
      <w:pPr>
        <w:spacing w:before="0" w:after="0" w:line="408" w:lineRule="exact"/>
        <w:ind w:left="0" w:right="0" w:firstLine="576"/>
        <w:jc w:val="left"/>
      </w:pPr>
      <w:r>
        <w:rPr/>
        <w:t xml:space="preserve">(2) $2,750,000 of the general fund</w:t>
      </w:r>
      <w:r>
        <w:rPr>
          <w:rFonts w:ascii="Times New Roman" w:hAnsi="Times New Roman"/>
        </w:rPr>
        <w:t xml:space="preserve">—</w:t>
      </w:r>
      <w:r>
        <w:rPr/>
        <w:t xml:space="preserve">state appropriation for fiscal year 2016 and $2,750,000 of the general fund</w:t>
      </w:r>
      <w:r>
        <w:rPr>
          <w:rFonts w:ascii="Times New Roman" w:hAnsi="Times New Roman"/>
        </w:rPr>
        <w:t xml:space="preserve">—</w:t>
      </w:r>
      <w:r>
        <w:rPr/>
        <w:t xml:space="preserve">state appropriation for fiscal year 2017 are provided solely for salary adjustments for classified positions in department of corrections institutions. Lower paid positions shall be made the highest priority for increases provided under this subsection.</w:t>
      </w:r>
    </w:p>
    <w:p>
      <w:pPr>
        <w:spacing w:before="0" w:after="0" w:line="408" w:lineRule="exact"/>
        <w:ind w:left="0" w:right="0" w:firstLine="576"/>
        <w:jc w:val="left"/>
      </w:pPr>
      <w:r>
        <w:rPr/>
        <w:t xml:space="preserve">(3)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rPr/>
        <w:t xml:space="preserve">$424,000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$56,601,000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$94,905,000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$22,119,000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$23,917,000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$47,698,000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$5,162,000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$504,752,000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$3,154,000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$1,424,000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$5,106,000</w:t>
      </w:r>
    </w:p>
    <w:p>
      <w:pPr>
        <w:tabs>
          <w:tab w:val="right" w:leader="dot" w:pos="9936"/>
        </w:tabs>
        <w:ind w:left="0" w:right="0" w:firstLine="1440"/>
      </w:pPr>
      <w:r>
        <w:rPr/>
        <w:t xml:space="preserve">TOTAL APPROPRIATION</w:t>
      </w:r>
      <w:r>
        <w:tab/>
      </w:r>
      <w:r>
        <w:rPr/>
        <w:t xml:space="preserve">$6,010,000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$23,924,000</w:t>
      </w:r>
      <w:r>
        <w:tab/>
      </w:r>
    </w:p>
    <w:p>
      <w:pPr>
        <w:spacing w:before="0" w:after="0" w:line="408" w:lineRule="exact"/>
        <w:ind w:left="0" w:right="0" w:firstLine="576"/>
        <w:jc w:val="left"/>
        <w:tabs>
          <w:tab w:val="right" w:leader="none" w:pos="9936"/>
        </w:tabs>
      </w:pPr>
      <w:r>
        <w:rPr/>
        <w:t xml:space="preserve">for fiscal year 2016 and $23,784,000</w:t>
      </w:r>
      <w:r>
        <w:tab/>
      </w:r>
    </w:p>
    <w:p>
      <w:pPr>
        <w:spacing w:before="0" w:after="0" w:line="408" w:lineRule="exact"/>
        <w:ind w:left="0" w:right="0" w:firstLine="576"/>
        <w:jc w:val="left"/>
        <w:tabs>
          <w:tab w:val="right" w:leader="dot" w:pos="9936"/>
        </w:tabs>
      </w:pPr>
      <w:r>
        <w:rPr/>
        <w:t xml:space="preserve">for fiscal year 2017</w:t>
      </w:r>
      <w:r>
        <w:tab/>
      </w:r>
      <w:r>
        <w:rPr/>
        <w:t xml:space="preserve">$47,698,000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$15,900,000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none" w:pos="9936"/>
        </w:tabs>
      </w:pPr>
      <w:r>
        <w:rPr/>
        <w:t xml:space="preserve">State Lottery Account: For transfer to the state</w:t>
      </w:r>
      <w:r>
        <w:tab/>
      </w:r>
    </w:p>
    <w:p>
      <w:pPr>
        <w:spacing w:before="0" w:after="0" w:line="408" w:lineRule="exact"/>
        <w:ind w:left="0" w:right="0" w:firstLine="576"/>
        <w:jc w:val="left"/>
        <w:tabs>
          <w:tab w:val="right" w:leader="none" w:pos="9936"/>
        </w:tabs>
      </w:pPr>
      <w:r>
        <w:rPr/>
        <w:t xml:space="preserve">general fund, $7,000,000</w:t>
      </w:r>
      <w:r>
        <w:tab/>
      </w:r>
    </w:p>
    <w:p>
      <w:pPr>
        <w:spacing w:before="0" w:after="0" w:line="408" w:lineRule="exact"/>
        <w:ind w:left="0" w:right="0" w:firstLine="576"/>
        <w:jc w:val="left"/>
        <w:tabs>
          <w:tab w:val="right" w:leader="none" w:pos="9936"/>
        </w:tabs>
      </w:pPr>
      <w:r>
        <w:rPr/>
        <w:t xml:space="preserve">for fiscal year 2016 and $7,000,000 for fiscal</w:t>
      </w:r>
      <w:r>
        <w:tab/>
      </w:r>
    </w:p>
    <w:p>
      <w:pPr>
        <w:spacing w:before="0" w:after="0" w:line="408" w:lineRule="exact"/>
        <w:ind w:left="0" w:right="0" w:firstLine="576"/>
        <w:jc w:val="left"/>
        <w:tabs>
          <w:tab w:val="right" w:leader="dot" w:pos="9936"/>
        </w:tabs>
      </w:pPr>
      <w:r>
        <w:rPr/>
        <w:t xml:space="preserve">year 2017</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$100,000,000 for fiscal</w:t>
      </w:r>
    </w:p>
    <w:p>
      <w:pPr>
        <w:spacing w:before="0" w:after="0" w:line="408" w:lineRule="exact"/>
        <w:ind w:left="0" w:right="0" w:firstLine="0"/>
        <w:jc w:val="left"/>
        <w:tabs>
          <w:tab w:val="right" w:leader="dot" w:pos="9936"/>
        </w:tabs>
      </w:pPr>
      <w:r>
        <w:rPr/>
        <w:t xml:space="preserve">year 2016 and $100,000,000 for fiscal year 2017</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nuclear</w:t>
      </w:r>
    </w:p>
    <w:p>
      <w:pPr>
        <w:spacing w:before="0" w:after="0" w:line="408" w:lineRule="exact"/>
        <w:ind w:left="0" w:right="0" w:firstLine="0"/>
        <w:jc w:val="left"/>
        <w:tabs>
          <w:tab w:val="right" w:leader="dot" w:pos="9936"/>
        </w:tabs>
      </w:pPr>
      <w:pPr>
        <w:tabs>
          <w:tab w:val="right" w:leader="dot" w:pos="9360"/>
        </w:tabs>
      </w:pPr>
      <w:r>
        <w:rPr/>
        <w:t xml:space="preserve">energy education account, $52,000 for fiscal</w:t>
      </w:r>
    </w:p>
    <w:p>
      <w:pPr>
        <w:spacing w:before="0" w:after="0" w:line="408" w:lineRule="exact"/>
        <w:ind w:left="0" w:right="0" w:firstLine="0"/>
        <w:jc w:val="left"/>
        <w:tabs>
          <w:tab w:val="right" w:leader="dot" w:pos="9936"/>
        </w:tabs>
      </w:pPr>
      <w:r>
        <w:rPr/>
        <w:t xml:space="preserve">year 2016 and $53,000 for fiscal year 2017</w:t>
      </w:r>
      <w:r>
        <w:tab/>
      </w:r>
      <w:r>
        <w:rPr/>
        <w:t xml:space="preserve">$105,000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$5,700,000 for fiscal</w:t>
      </w:r>
    </w:p>
    <w:p>
      <w:pPr>
        <w:spacing w:before="0" w:after="0" w:line="408" w:lineRule="exact"/>
        <w:ind w:left="0" w:right="0" w:firstLine="0"/>
        <w:jc w:val="left"/>
        <w:tabs>
          <w:tab w:val="right" w:leader="dot" w:pos="9936"/>
        </w:tabs>
      </w:pPr>
      <w:r>
        <w:rPr/>
        <w:t xml:space="preserve">year 2016 and $5,700,000 for fiscal year 2017</w:t>
      </w:r>
      <w:r>
        <w:tab/>
      </w:r>
      <w:r>
        <w:rPr/>
        <w:t xml:space="preserve">$11,400,000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$1,000,000 for fiscal</w:t>
      </w:r>
    </w:p>
    <w:p>
      <w:pPr>
        <w:spacing w:before="0" w:after="0" w:line="408" w:lineRule="exact"/>
        <w:ind w:left="0" w:right="0" w:firstLine="0"/>
        <w:jc w:val="left"/>
        <w:tabs>
          <w:tab w:val="right" w:leader="dot" w:pos="9936"/>
        </w:tabs>
      </w:pPr>
      <w:r>
        <w:rPr/>
        <w:t xml:space="preserve">year 2016 and $1,000,000 for fiscal year 2017</w:t>
      </w:r>
      <w:r>
        <w:tab/>
      </w:r>
      <w:r>
        <w:rPr/>
        <w:t xml:space="preserve">$2,000,000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part IX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GOVERNOR</w:t>
      </w:r>
    </w:p>
    <w:p>
      <w:pPr>
        <w:spacing w:before="0" w:after="0" w:line="408" w:lineRule="exact"/>
        <w:ind w:left="0" w:right="0" w:firstLine="576"/>
        <w:jc w:val="left"/>
      </w:pPr>
      <w:r>
        <w:rPr/>
        <w:t xml:space="preserve">(1) Under the provisions of chapters 41.80 and 41.56, the governor reached tentative agreements for the 2015-2017 fiscal biennium with the following exclusive bargaining representatives:</w:t>
      </w:r>
    </w:p>
    <w:p>
      <w:pPr>
        <w:spacing w:before="0" w:after="0" w:line="408" w:lineRule="exact"/>
        <w:ind w:left="0" w:right="0" w:firstLine="576"/>
        <w:jc w:val="left"/>
      </w:pPr>
      <w:r>
        <w:rPr/>
        <w:t xml:space="preserve">(a) The Washington federation of state employees;</w:t>
      </w:r>
    </w:p>
    <w:p>
      <w:pPr>
        <w:spacing w:before="0" w:after="0" w:line="408" w:lineRule="exact"/>
        <w:ind w:left="0" w:right="0" w:firstLine="576"/>
        <w:jc w:val="left"/>
      </w:pPr>
      <w:r>
        <w:rPr/>
        <w:t xml:space="preserve">(b) The Washington public employees association;</w:t>
      </w:r>
    </w:p>
    <w:p>
      <w:pPr>
        <w:spacing w:before="0" w:after="0" w:line="408" w:lineRule="exact"/>
        <w:ind w:left="0" w:right="0" w:firstLine="576"/>
        <w:jc w:val="left"/>
      </w:pPr>
      <w:r>
        <w:rPr/>
        <w:t xml:space="preserve">(c) The coalition of unions;</w:t>
      </w:r>
    </w:p>
    <w:p>
      <w:pPr>
        <w:spacing w:before="0" w:after="0" w:line="408" w:lineRule="exact"/>
        <w:ind w:left="0" w:right="0" w:firstLine="576"/>
        <w:jc w:val="left"/>
      </w:pPr>
      <w:r>
        <w:rPr/>
        <w:t xml:space="preserve">(d) The Washington association of fish and wildlife professionals;</w:t>
      </w:r>
    </w:p>
    <w:p>
      <w:pPr>
        <w:spacing w:before="0" w:after="0" w:line="408" w:lineRule="exact"/>
        <w:ind w:left="0" w:right="0" w:firstLine="576"/>
        <w:jc w:val="left"/>
      </w:pPr>
      <w:r>
        <w:rPr/>
        <w:t xml:space="preserve">(e) The professional and technical employees local 17;</w:t>
      </w:r>
    </w:p>
    <w:p>
      <w:pPr>
        <w:spacing w:before="0" w:after="0" w:line="408" w:lineRule="exact"/>
        <w:ind w:left="0" w:right="0" w:firstLine="576"/>
        <w:jc w:val="left"/>
      </w:pPr>
      <w:r>
        <w:rPr/>
        <w:t xml:space="preserve">(f) The service employees international union healthcare 1199nw;</w:t>
      </w:r>
    </w:p>
    <w:p>
      <w:pPr>
        <w:spacing w:before="0" w:after="0" w:line="408" w:lineRule="exact"/>
        <w:ind w:left="0" w:right="0" w:firstLine="576"/>
        <w:jc w:val="left"/>
      </w:pPr>
      <w:r>
        <w:rPr/>
        <w:t xml:space="preserve">(g) The international brotherhood of teamsters local 117;</w:t>
      </w:r>
    </w:p>
    <w:p>
      <w:pPr>
        <w:spacing w:before="0" w:after="0" w:line="408" w:lineRule="exact"/>
        <w:ind w:left="0" w:right="0" w:firstLine="576"/>
        <w:jc w:val="left"/>
      </w:pPr>
      <w:r>
        <w:rPr/>
        <w:t xml:space="preserve">(h) The Washington state patrol troopers association; and</w:t>
      </w:r>
    </w:p>
    <w:p>
      <w:pPr>
        <w:spacing w:before="0" w:after="0" w:line="408" w:lineRule="exact"/>
        <w:ind w:left="0" w:right="0" w:firstLine="576"/>
        <w:jc w:val="left"/>
      </w:pPr>
      <w:r>
        <w:rPr/>
        <w:t xml:space="preserve">(i) The Washington state patrol lieutenants association.</w:t>
      </w:r>
    </w:p>
    <w:p>
      <w:pPr>
        <w:spacing w:before="0" w:after="0" w:line="408" w:lineRule="exact"/>
        <w:ind w:left="0" w:right="0" w:firstLine="576"/>
        <w:jc w:val="left"/>
      </w:pPr>
      <w:r>
        <w:rPr/>
        <w:t xml:space="preserve">(2) The legislature rejects the above tentative agreements that have been reached as a whole.</w:t>
      </w:r>
    </w:p>
    <w:p>
      <w:pPr>
        <w:spacing w:before="0" w:after="0" w:line="408" w:lineRule="exact"/>
        <w:ind w:left="0" w:right="0" w:firstLine="576"/>
        <w:jc w:val="left"/>
      </w:pPr>
      <w:r>
        <w:rPr/>
        <w:t xml:space="preserve">(3) Appropriations are provided in section 744 of this act to fund the equivalent of a $1,000 annual wage increase beginning July 1, 2015, and an additional $1,000 annual wage increase beginning July 1, 2016, for all full-time employees, prorated for part-time employees, for all state employees, including nonrepresented classified employees, employees in the Washington management service, uniformed officers of the Washington state patrol and employees not subject to the provisions of chapter 41.06 RCW. Additional funding is provided in section 745 for targeted salary increases for state agency classified employees.</w:t>
      </w:r>
    </w:p>
    <w:p>
      <w:pPr>
        <w:spacing w:before="0" w:after="0" w:line="408" w:lineRule="exact"/>
        <w:ind w:left="0" w:right="0" w:firstLine="576"/>
        <w:jc w:val="left"/>
      </w:pPr>
      <w:r>
        <w:rPr/>
        <w:t xml:space="preserve">(4) Funding for an agreement shall be considered approved pursuant to RCW 41.80.010, 41.56.473, and 41.56.475 and the parties shall execute the agreement if the governor and an exclusive bargaining representative in subsection (1)(a) through (i) of this section reach a new agreement under chapters 41.80 or 41.56 RCW for the 2015-2017 fiscal biennium by June 30, 2015, and the agreement reached under this subsection does not create any future fiscal liability on the part of the state in excess of the future fiscal liability created by section 743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COMMUNITY COLLEGES</w:t>
      </w:r>
    </w:p>
    <w:p>
      <w:pPr>
        <w:spacing w:before="0" w:after="0" w:line="408" w:lineRule="exact"/>
        <w:ind w:left="0" w:right="0" w:firstLine="576"/>
        <w:jc w:val="left"/>
      </w:pPr>
      <w:r>
        <w:rPr/>
        <w:t xml:space="preserve">(1) Under the provisions of chapter 41.80 RCW, tentative agreements for the 2015-2017 fiscal biennium have been reached between the following parties:</w:t>
      </w:r>
    </w:p>
    <w:p>
      <w:pPr>
        <w:spacing w:before="0" w:after="0" w:line="408" w:lineRule="exact"/>
        <w:ind w:left="0" w:right="0" w:firstLine="576"/>
        <w:jc w:val="left"/>
      </w:pPr>
      <w:r>
        <w:rPr/>
        <w:t xml:space="preserve">(a) The governor and the Washington federation of state employees community college coalition and the Washington public employees association community college coalition;</w:t>
      </w:r>
    </w:p>
    <w:p>
      <w:pPr>
        <w:spacing w:before="0" w:after="0" w:line="408" w:lineRule="exact"/>
        <w:ind w:left="0" w:right="0" w:firstLine="576"/>
        <w:jc w:val="left"/>
      </w:pPr>
      <w:r>
        <w:rPr/>
        <w:t xml:space="preserve">(b) Yakima Valley Community College and the Washington public employees association; and</w:t>
      </w:r>
    </w:p>
    <w:p>
      <w:pPr>
        <w:spacing w:before="0" w:after="0" w:line="408" w:lineRule="exact"/>
        <w:ind w:left="0" w:right="0" w:firstLine="576"/>
        <w:jc w:val="left"/>
      </w:pPr>
      <w:r>
        <w:rPr/>
        <w:t xml:space="preserve">(c) Highline College and the Washington public employees association.</w:t>
      </w:r>
    </w:p>
    <w:p>
      <w:pPr>
        <w:spacing w:before="0" w:after="0" w:line="408" w:lineRule="exact"/>
        <w:ind w:left="0" w:right="0" w:firstLine="576"/>
        <w:jc w:val="left"/>
      </w:pPr>
      <w:r>
        <w:rPr/>
        <w:t xml:space="preserve">(2) The legislature rejects the tentative agreements that have been reached as a whole.</w:t>
      </w:r>
    </w:p>
    <w:p>
      <w:pPr>
        <w:spacing w:before="0" w:after="0" w:line="408" w:lineRule="exact"/>
        <w:ind w:left="0" w:right="0" w:firstLine="576"/>
        <w:jc w:val="left"/>
      </w:pPr>
      <w:r>
        <w:rPr/>
        <w:t xml:space="preserve">(3) An appropriation is provided in section 605 of this act to fund a $1,000 annual wage increase beginning July 1, 2015, and an additional $1,000 annual wage increase beginning July 1, 2016, for all full-time employees, prorated for part-time employees, for all state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605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p>
    <w:p>
      <w:pPr>
        <w:spacing w:before="0" w:after="0" w:line="408" w:lineRule="exact"/>
        <w:ind w:left="0" w:right="0" w:firstLine="576"/>
        <w:jc w:val="left"/>
      </w:pPr>
      <w:r>
        <w:rPr/>
        <w:t xml:space="preserve">A tentative agreement has been reached between The Evergreen State College and the Washington federation of state employees under the provisions of chapter 41.80 RCW for the 2015-2017 fiscal biennium. The legislature rejects the tentative agreement that has been reached as a whole. An appropriation is provided in section 610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p>
    <w:p>
      <w:pPr>
        <w:spacing w:before="0" w:after="0" w:line="408" w:lineRule="exact"/>
        <w:ind w:left="0" w:right="0" w:firstLine="576"/>
        <w:jc w:val="left"/>
      </w:pPr>
      <w:r>
        <w:rPr/>
        <w:t xml:space="preserve">Tentative agreements have been reached between the Western Washington University and the Washington federation of state employees and the public schools employees of Washington under the provisions of chapter 41.80 RCW for the 2015-2017 fiscal biennium. The legislature rejects the tentative agreements that have been reached as a whole. An appropriation is provided in section 611 of this act to fund a $1,000 annual wage increase beginning July 1, 2015, and an additional $1,000 annual wage increase beginning July 1, 2016, for all full-time employees, prorated for part-time employees, for employees at Western Washington University,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p>
    <w:p>
      <w:pPr>
        <w:spacing w:before="0" w:after="0" w:line="408" w:lineRule="exact"/>
        <w:ind w:left="0" w:right="0" w:firstLine="576"/>
        <w:jc w:val="left"/>
      </w:pPr>
      <w:r>
        <w:rPr/>
        <w:t xml:space="preserve">A tentative agreement has been reached between Eastern Washington University and the Washington federation of state employees under the provisions of chapter 41.80 RCW for the 2015-2017 fiscal biennium. The legislature rejects the tentative agreement that has been reached as a whole. An appropriation is provided in section 608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p>
    <w:p>
      <w:pPr>
        <w:spacing w:before="0" w:after="0" w:line="408" w:lineRule="exact"/>
        <w:ind w:left="0" w:right="0" w:firstLine="576"/>
        <w:jc w:val="left"/>
      </w:pPr>
      <w:r>
        <w:rPr/>
        <w:t xml:space="preserve">Tentative agreements have been reached between Central Washington University and the Washington federation of state employees and the public schools employees of Washington under the provisions of chapter 41.80 RCW for the 2015-2017 fiscal biennium. The legislature rejects the tentative agreements that have been reached as a whole. An appropriation is provided in section 609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p>
    <w:p>
      <w:pPr>
        <w:spacing w:before="0" w:after="0" w:line="408" w:lineRule="exact"/>
        <w:ind w:left="0" w:right="0" w:firstLine="576"/>
        <w:jc w:val="left"/>
      </w:pPr>
      <w:r>
        <w:rPr/>
        <w:t xml:space="preserve">Tentative agreements have been reached between the University of Washington and the Washington federation of state employees and the service employees international union 925 under the provisions of chapter 41.80 RCW for the 2015-2017 fiscal biennium. The legislature rejects the tentative agreements that have been reached as a whole. An appropriation is provided in section 606 of this act to fund a $1,000 annual wage increase beginning July 1, 2015, and an additional $1,000 annual wage increase beginning July 1, 2016, for all full-time employees, prorated for part-time employees, for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p>
    <w:p>
      <w:pPr>
        <w:spacing w:before="0" w:after="0" w:line="408" w:lineRule="exact"/>
        <w:ind w:left="0" w:right="0" w:firstLine="576"/>
        <w:jc w:val="left"/>
      </w:pPr>
      <w:r>
        <w:rPr/>
        <w:t xml:space="preserve">Tentative agreements have been reached between the Washington State University and the Washington federation of state employees, the public schools employees of Washington, and the Washington State University police guild under the provisions of chapter 41.80 RCW for the 2015-2017 fiscal biennium. The legislature rejects the tentative agreements that have been reached as a whole. An appropriation is provided in section 607 of this act to fund a $1,000 annual wage increase beginning July 1, 2015, and an additional $1,000 annual wage increase beginning July 1, 2016, for all full-time employees, prorated for part-time employees, for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 tentative health care benefits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sections 737 through 743 of this act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spacing w:before="0" w:after="0" w:line="408" w:lineRule="exact"/>
        <w:ind w:left="0" w:right="0" w:firstLine="576"/>
        <w:jc w:val="left"/>
      </w:pPr>
      <w:r>
        <w:rPr/>
        <w:t xml:space="preserve">(b) Except as prohibited by the tentative health care benefits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sections 737 through 743 of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The agreement provided for increases to wages and pay differentials, contributions to a retirement benefit, and contributions to health care. The agreement also provided for increased contributions for training-related obligations. The legislature rejects the agreement that has been reached as a whole. Funding for the agreement shall be considered approved pursuant to RCW 74.39A.300, and the parties shall execute the agreement if the governor and the service employees international union healthcare 775nw reach a new agreement under chapter 74.39A and 41.56 RCW for the 2015-2017 fiscal biennium by June 30, 2015, subject to the conditions, limitations, and funding provided in section 205 and 206 of this act for individual providers of home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sections 737 through 743 of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$59.19 per month beginning September 1, 2015, and $57.61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$59.19 each month beginning September 1, 2015, and $57.61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Parts 6 and 7 of this act authorize general wage increases for state employees covered by Initiative Measure No. 732. The general wage increases are inclusive of the annual cost-of-living adjustments required under Initiative Measure No. 732.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 and</w:t>
      </w:r>
    </w:p>
    <w:p>
      <w:pPr>
        <w:spacing w:before="0" w:after="0" w:line="408" w:lineRule="exact"/>
        <w:ind w:left="0" w:right="0" w:firstLine="576"/>
        <w:jc w:val="left"/>
      </w:pPr>
      <w:r>
        <w:rPr/>
        <w:t xml:space="preserve">(f)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 Proceeds from any financial contracts must be deposited into the information technology investment revolving account created in section 705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spacing w:before="0" w:after="0" w:line="408" w:lineRule="exact"/>
        <w:ind w:left="0" w:right="0" w:firstLine="576"/>
        <w:jc w:val="left"/>
      </w:pPr>
      <w:r>
        <w:rPr/>
        <w:t xml:space="preserve">After June 1, 1992, the department, in consultation with the office and the department of social and health services, shall:</w:t>
      </w:r>
    </w:p>
    <w:p>
      <w:pPr>
        <w:spacing w:before="0" w:after="0" w:line="408" w:lineRule="exact"/>
        <w:ind w:left="0" w:right="0" w:firstLine="576"/>
        <w:jc w:val="left"/>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(2) Determine health professional shortage areas for each of the eligible credentialed health care professions.</w:t>
      </w:r>
    </w:p>
    <w:p>
      <w:pPr>
        <w:spacing w:before="0" w:after="0" w:line="408" w:lineRule="exact"/>
        <w:ind w:left="0" w:right="0" w:firstLine="576"/>
        <w:jc w:val="left"/>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170</w:t>
      </w:r>
      <w:r>
        <w:rPr/>
        <w:t xml:space="preserve"> and 2009 c 337 s 5 are each amended to read as follows:</w:t>
      </w:r>
    </w:p>
    <w:p>
      <w:pPr>
        <w:spacing w:before="0" w:after="0" w:line="408" w:lineRule="exact"/>
        <w:ind w:left="0" w:right="0" w:firstLine="576"/>
        <w:jc w:val="left"/>
      </w:pPr>
      <w:r>
        <w:rPr/>
        <w:t xml:space="preserve">(1)(a) Except as provided in (b) of this subsection, a surcharge of five dollars per instrument shall be charged by the county auditor for each document recorded, which will be in addition to any other charge authorized by law. One dollar of the surcharge shall be used at the discretion of the county commissioners to promote historical preservation or historical programs, which may include preservation of historic documents.</w:t>
      </w:r>
    </w:p>
    <w:p>
      <w:pPr>
        <w:spacing w:before="0" w:after="0" w:line="408" w:lineRule="exact"/>
        <w:ind w:left="0" w:right="0" w:firstLine="576"/>
        <w:jc w:val="left"/>
      </w:pPr>
      <w:r>
        <w:rPr/>
        <w:t xml:space="preserve">(b) A surcharge of two dollars per instrument shall be charged by the county auditor for each document presented for recording by the employment security department, which will be in addition to any other charge authorized by law.</w:t>
      </w:r>
    </w:p>
    <w:p>
      <w:pPr>
        <w:spacing w:before="0" w:after="0" w:line="408" w:lineRule="exact"/>
        <w:ind w:left="0" w:right="0" w:firstLine="576"/>
        <w:jc w:val="left"/>
      </w:pPr>
      <w:r>
        <w:rPr/>
        <w:t xml:space="preserve">(2) Of the remaining revenue generated through the surcharges under subsection (1) of this section:</w:t>
      </w:r>
    </w:p>
    <w:p>
      <w:pPr>
        <w:spacing w:before="0" w:after="0" w:line="408" w:lineRule="exact"/>
        <w:ind w:left="0" w:right="0" w:firstLine="576"/>
        <w:jc w:val="left"/>
      </w:pPr>
      <w:r>
        <w:rPr/>
        <w:t xml:space="preserve">(a) </w:t>
      </w:r>
      <w:r>
        <w:rPr>
          <w:u w:val="single"/>
        </w:rPr>
        <w:t xml:space="preserve">Except as provided in subsection (4) of this section, f</w:t>
      </w:r>
      <w:r>
        <w:rPr/>
        <w:t xml:space="preserve">ifty percent shall be transmitted monthly to the state treasurer who shall distribute such funds to each county treasurer within the state in July of each year in accordance with the formula described in RCW 36.22.190. The county treasurer shall place the funds received in a special account titled the auditor's centennial document preservation and modernization account to be used solely for ongoing preservation of historical documents of all county offices and departments and shall not be added to the county current expense fund; and</w:t>
      </w:r>
    </w:p>
    <w:p>
      <w:pPr>
        <w:spacing w:before="0" w:after="0" w:line="408" w:lineRule="exact"/>
        <w:ind w:left="0" w:right="0" w:firstLine="576"/>
        <w:jc w:val="left"/>
      </w:pPr>
      <w:r>
        <w:rPr/>
        <w:t xml:space="preserve">(b) Fifty percent shall be retained by the county and deposited in the auditor's operation and maintenance fund for ongoing preservation of historical documents of all county offices and departments.</w:t>
      </w:r>
    </w:p>
    <w:p>
      <w:pPr>
        <w:spacing w:before="0" w:after="0" w:line="408" w:lineRule="exact"/>
        <w:ind w:left="0" w:right="0" w:firstLine="576"/>
        <w:jc w:val="left"/>
      </w:pPr>
      <w:r>
        <w:rPr/>
        <w:t xml:space="preserve">(3) The centennial document preservation and modernization account is hereby created in the custody of the state treasurer and shall be classified as a treasury trust account. State distributions from the centennial document preservation and modernization account shall be made without appropriation.</w:t>
      </w:r>
    </w:p>
    <w:p>
      <w:pPr>
        <w:spacing w:before="0" w:after="0" w:line="408" w:lineRule="exact"/>
        <w:ind w:left="0" w:right="0" w:firstLine="576"/>
        <w:jc w:val="left"/>
      </w:pPr>
      <w:r>
        <w:rPr>
          <w:u w:val="single"/>
        </w:rPr>
        <w:t xml:space="preserve">(4)(a) During the 2015-2017 fiscal biennium, of the amounts under subsection (2) of this section, fifty percent shall be transmitted monthly to the state treasurer who shall deposit such funds into the state general fund, and fifty percent shall be retained by the county and deposited in the auditor's operation and maintenance fund for ongoing preservation of historical documents of all county offices and departments.</w:t>
      </w:r>
    </w:p>
    <w:p>
      <w:pPr>
        <w:spacing w:before="0" w:after="0" w:line="408" w:lineRule="exact"/>
        <w:ind w:left="0" w:right="0" w:firstLine="576"/>
        <w:jc w:val="left"/>
      </w:pPr>
      <w:r>
        <w:rPr>
          <w:u w:val="single"/>
        </w:rPr>
        <w:t xml:space="preserve">(b) It is the intent of the legislature to continue the policy under this subsection (4) into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 </w:t>
      </w:r>
      <w:r>
        <w:rPr>
          <w:u w:val="single"/>
        </w:rPr>
        <w:t xml:space="preserve">During the 2015-2017 fiscal biennium, the auditor shall retain one percent for collection of the fee, and of the remainder remit sixty percent to the county as provided in this subsection (a) and forty percent to the state as provided in subsection (1)(b) of this section.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(1) All bequests, fees, gifts, emoluments, or donations given or paid thereto; (2) twenty-five percent of all moneys received by the state from taxes on fire insurance premiums; (3) taxes paid pursuant to the provisions of RCW 41.16.060; (4) interest on the investments of the fund; and (5) contributions by firefighters as provided for </w:t>
      </w:r>
      <w:r>
        <w:t>((</w:t>
      </w:r>
      <w:r>
        <w:rPr>
          <w:strike/>
        </w:rPr>
        <w:t xml:space="preserve">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During the 2015-2017 fiscal biennium, the state treasurer shall calculate the amount for distribution as provided in subsection (1) of this section. However, the amount to be distributed to cities and towns shall be deposited into the state general fund.</w:t>
      </w:r>
    </w:p>
    <w:p>
      <w:pPr>
        <w:spacing w:before="0" w:after="0" w:line="408" w:lineRule="exact"/>
        <w:ind w:left="0" w:right="0" w:firstLine="576"/>
        <w:jc w:val="left"/>
      </w:pPr>
      <w:r>
        <w:rPr>
          <w:u w:val="single"/>
        </w:rPr>
        <w:t xml:space="preserve">(b) In order to receive any remaining distribution during fiscal year 2015, each city, town, or fire protection district must report to the department of retirement systems the number of retired and disabled firefighters or survivor beneficiaries currently receiving benefits paid by the city, town, or fire protection district's firefighters' pension fund created under RCW 41.16.040 and the estimated liabilities against such fund.</w:t>
      </w:r>
    </w:p>
    <w:p>
      <w:pPr>
        <w:spacing w:before="0" w:after="0" w:line="408" w:lineRule="exact"/>
        <w:ind w:left="0" w:right="0" w:firstLine="576"/>
        <w:jc w:val="left"/>
      </w:pPr>
      <w:r>
        <w:rPr>
          <w:u w:val="single"/>
        </w:rPr>
        <w:t xml:space="preserve">(c) It is the intent of the legislature to continue the policy under (a) of this subsection into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2011-2013</w:t>
      </w:r>
      <w:r>
        <w:t>))</w:t>
      </w:r>
      <w:r>
        <w:rPr/>
        <w:t xml:space="preserve"> and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w:t>
      </w:r>
      <w:r>
        <w:t>((</w:t>
      </w:r>
      <w:r>
        <w:rPr>
          <w:strike/>
        </w:rPr>
        <w:t xml:space="preserve">The legislature may act upon a 2013</w:t>
      </w:r>
      <w:r>
        <w:rPr/>
        <w:noBreakHyphen/>
      </w:r>
      <w:r>
        <w:rPr>
          <w:strike/>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495</w:t>
      </w:r>
      <w:r>
        <w:rPr/>
        <w:t xml:space="preserve"> and 2012 c 187 s 6 are each amended to read as follows:</w:t>
      </w:r>
    </w:p>
    <w:p>
      <w:pPr>
        <w:spacing w:before="0" w:after="0" w:line="408" w:lineRule="exact"/>
        <w:ind w:left="0" w:right="0" w:firstLine="576"/>
        <w:jc w:val="left"/>
      </w:pPr>
      <w:r>
        <w:rPr/>
        <w:t xml:space="preserve">(1) The budget stabilization account is governed by the provisions in Article VII, section 12 </w:t>
      </w:r>
      <w:r>
        <w:rPr>
          <w:u w:val="single"/>
        </w:rPr>
        <w:t xml:space="preserve">of the state Constitution</w:t>
      </w:r>
      <w:r>
        <w:rPr/>
        <w:t xml:space="preserve"> and this section.</w:t>
      </w:r>
    </w:p>
    <w:p>
      <w:pPr>
        <w:spacing w:before="0" w:after="0" w:line="408" w:lineRule="exact"/>
        <w:ind w:left="0" w:right="0" w:firstLine="576"/>
        <w:jc w:val="left"/>
      </w:pPr>
      <w:r>
        <w:rPr/>
        <w:t xml:space="preserve">(2) By June 30th of each fiscal year, the state treasurer shall transfer an amount equal to one percent of the general state revenues for that fiscal year to the budget stabilization account.</w:t>
      </w:r>
    </w:p>
    <w:p>
      <w:pPr>
        <w:spacing w:before="0" w:after="0" w:line="408" w:lineRule="exact"/>
        <w:ind w:left="0" w:right="0" w:firstLine="576"/>
        <w:jc w:val="left"/>
      </w:pPr>
      <w:r>
        <w:rPr/>
        <w:t xml:space="preserve">(3) For the purposes of Article VII, section 12, this section, and RCW 82.33.050, the state employment growth forecast shall be based on the total nonfarm payroll employment data series.</w:t>
      </w:r>
    </w:p>
    <w:p>
      <w:pPr>
        <w:spacing w:before="0" w:after="0" w:line="408" w:lineRule="exact"/>
        <w:ind w:left="0" w:right="0" w:firstLine="576"/>
        <w:jc w:val="left"/>
      </w:pPr>
      <w:r>
        <w:rPr>
          <w:u w:val="single"/>
        </w:rPr>
        <w:t xml:space="preserve">(4) During the 2015-2017 and 2017-2019 fiscal biennia, for the purposes of Article VII, section 12, and the calculation of extraordinary revenue growth and the biennial percentage growth in general state revenues over the prior five fiscal biennia, the growth in a fiscal biennium with a decline in general state revenues shall be deemed to be no growth.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w:t>
      </w:r>
      <w:r>
        <w:t>((</w:t>
      </w:r>
      <w:r>
        <w:rPr>
          <w:strike/>
        </w:rPr>
        <w:t xml:space="preserve">and</w:t>
      </w:r>
      <w:r>
        <w:t>))</w:t>
      </w:r>
    </w:p>
    <w:p>
      <w:pPr>
        <w:spacing w:before="0" w:after="0" w:line="408" w:lineRule="exact"/>
        <w:ind w:left="0" w:right="0" w:firstLine="576"/>
        <w:jc w:val="left"/>
      </w:pPr>
      <w:r>
        <w:rPr/>
        <w:t xml:space="preserve">(e) Where the points or fees charged at loan closing do not exceed one percent of the loan amount</w:t>
      </w:r>
      <w:r>
        <w:rPr>
          <w:u w:val="single"/>
        </w:rPr>
        <w:t xml:space="preserve">; and</w:t>
      </w:r>
    </w:p>
    <w:p>
      <w:pPr>
        <w:spacing w:before="0" w:after="0" w:line="408" w:lineRule="exact"/>
        <w:ind w:left="0" w:right="0" w:firstLine="576"/>
        <w:jc w:val="left"/>
      </w:pPr>
      <w:r>
        <w:rPr>
          <w:u w:val="single"/>
        </w:rPr>
        <w:t xml:space="preserve">(f) Where funds are used for active business pursuits and not for passive investment activities</w:t>
      </w:r>
      <w:r>
        <w:rPr/>
        <w:t xml:space="preserve">.</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has the authority to adopt rules to:</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w:t>
      </w:r>
    </w:p>
    <w:p>
      <w:pPr>
        <w:spacing w:before="0" w:after="0" w:line="408" w:lineRule="exact"/>
        <w:ind w:left="0" w:right="0" w:firstLine="576"/>
        <w:jc w:val="left"/>
      </w:pPr>
      <w:r>
        <w:rPr>
          <w:u w:val="single"/>
        </w:rPr>
        <w:t xml:space="preserve">(f) Ensure that, when making a qualified loan under the linked deposit program, businesses not requesting loans for the purchase or refinancing of real property appraised at a value greater than an amount set by the director are given first priority;</w:t>
      </w:r>
    </w:p>
    <w:p>
      <w:pPr>
        <w:spacing w:before="0" w:after="0" w:line="408" w:lineRule="exact"/>
        <w:ind w:left="0" w:right="0" w:firstLine="576"/>
        <w:jc w:val="left"/>
      </w:pPr>
      <w:r>
        <w:rPr>
          <w:u w:val="single"/>
        </w:rPr>
        <w:t xml:space="preserve">(g) Ensure that, when making a qualified loan under the linked deposit program, businesses not requesting loans for improvements to real property, other than tenant improvements, where the total cost of the improvements is greater than an amount set by the director are given first priority; and</w:t>
      </w:r>
    </w:p>
    <w:p>
      <w:pPr>
        <w:spacing w:before="0" w:after="0" w:line="408" w:lineRule="exact"/>
        <w:ind w:left="0" w:right="0" w:firstLine="576"/>
        <w:jc w:val="left"/>
      </w:pPr>
      <w:r>
        <w:rPr>
          <w:u w:val="single"/>
        </w:rPr>
        <w:t xml:space="preserve">(h) Develop reporting requirements for businesses receiving linked deposit loans, except that the reporting must not require personnel resources exceeding those allocated to the office of minority and women's business enterprises on the effective date of this section.</w:t>
      </w:r>
    </w:p>
    <w:p>
      <w:pPr>
        <w:spacing w:before="0" w:after="0" w:line="408" w:lineRule="exact"/>
        <w:ind w:left="0" w:right="0" w:firstLine="576"/>
        <w:jc w:val="left"/>
      </w:pPr>
      <w:r>
        <w:rPr>
          <w:u w:val="single"/>
        </w:rPr>
        <w:t xml:space="preserve">(6) The director of the office of minority and women's business enterprises shall adopt rules prioritizing loans to minority or women's business enterprises or veteran-owned businesses for applicants that:</w:t>
      </w:r>
    </w:p>
    <w:p>
      <w:pPr>
        <w:spacing w:before="0" w:after="0" w:line="408" w:lineRule="exact"/>
        <w:ind w:left="0" w:right="0" w:firstLine="576"/>
        <w:jc w:val="left"/>
      </w:pPr>
      <w:r>
        <w:rPr>
          <w:u w:val="single"/>
        </w:rPr>
        <w:t xml:space="preserve">(a) Are located in an underserved area of the state;</w:t>
      </w:r>
    </w:p>
    <w:p>
      <w:pPr>
        <w:spacing w:before="0" w:after="0" w:line="408" w:lineRule="exact"/>
        <w:ind w:left="0" w:right="0" w:firstLine="576"/>
        <w:jc w:val="left"/>
      </w:pPr>
      <w:r>
        <w:rPr>
          <w:u w:val="single"/>
        </w:rPr>
        <w:t xml:space="preserve">(b) Demonstrate an ability to create or maintain at least one job opportunity; and</w:t>
      </w:r>
    </w:p>
    <w:p>
      <w:pPr>
        <w:spacing w:before="0" w:after="0" w:line="408" w:lineRule="exact"/>
        <w:ind w:left="0" w:right="0" w:firstLine="576"/>
        <w:jc w:val="left"/>
      </w:pPr>
      <w:r>
        <w:rPr>
          <w:u w:val="single"/>
        </w:rPr>
        <w:t xml:space="preserve">(c) Do not currently have loans with other small business lending agencies.</w:t>
      </w:r>
    </w:p>
    <w:p>
      <w:pPr>
        <w:spacing w:before="0" w:after="0" w:line="408" w:lineRule="exact"/>
        <w:ind w:left="0" w:right="0" w:firstLine="576"/>
        <w:jc w:val="left"/>
      </w:pPr>
      <w:r>
        <w:rPr>
          <w:u w:val="single"/>
        </w:rPr>
        <w:t xml:space="preserve">(7) The director of the office of minority and women's business enterprises shall report to the legislature on December 1, 2016, and annually by December 1st thereafter on the linked deposit program and may provide recommendations on additional rule-making authority for the linked deposit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spacing w:before="0" w:after="0" w:line="408" w:lineRule="exact"/>
        <w:ind w:left="0" w:right="0" w:firstLine="576"/>
        <w:jc w:val="left"/>
      </w:pPr>
      <w:r>
        <w:rPr/>
        <w:t xml:space="preserve">(1) The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t xml:space="preserve">(2) Except pursuant to a declaration of emergency under RCW </w:t>
      </w:r>
      <w:r>
        <w:t>((</w:t>
      </w:r>
      <w:r>
        <w:rPr>
          <w:strike/>
        </w:rPr>
        <w:t xml:space="preserve">43.135.035</w:t>
      </w:r>
      <w:r>
        <w:t>))</w:t>
      </w:r>
      <w:r>
        <w:rPr/>
        <w:t xml:space="preserve"> </w:t>
      </w:r>
      <w:r>
        <w:rPr>
          <w:u w:val="single"/>
        </w:rPr>
        <w:t xml:space="preserve">41.135.034</w:t>
      </w:r>
      <w:r>
        <w:rPr/>
        <w:t xml:space="preserve"> or pursuant to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t xml:space="preserve">(4) For purposes of computing the state expenditure limit for the fiscal year beginning July 1, 2009, the phrase "the previous fiscal year's state expenditure limit" means the total state expenditures from the state general fund, the public safety and education account, the health services account, the violence reduction and drug enforcement account, the student achievement fund, the water quality account, and the equal justice subaccount, not including federal funds, for the fiscal year beginning July 1, 2008, plus the fiscal growth factor. </w:t>
      </w:r>
      <w:r>
        <w:rPr>
          <w:u w:val="single"/>
        </w:rPr>
        <w:t xml:space="preserve">For fiscal years 2015, 2016, and 2017, the state expenditure limit shall be specified in the state omnibus operating appropriations act. 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spacing w:before="0" w:after="0" w:line="408" w:lineRule="exact"/>
        <w:ind w:left="0" w:right="0" w:firstLine="576"/>
        <w:jc w:val="left"/>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t xml:space="preserve">(7) "Fiscal growth factor" means the average growth in state personal income for the prior ten fiscal years.</w:t>
      </w:r>
    </w:p>
    <w:p>
      <w:pPr>
        <w:spacing w:before="0" w:after="0" w:line="408" w:lineRule="exact"/>
        <w:ind w:left="0" w:right="0" w:firstLine="576"/>
        <w:jc w:val="left"/>
      </w:pPr>
      <w:r>
        <w:rPr/>
        <w:t xml:space="preserve">(8) "General fund" means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voluntary stewardship program. During the 2015-2017 fiscal biennium, the legislature may transfer from the public works assistance account to the state general fund such amounts as specified by the legislature. The legislature intends to provide financial assistance for local government infrastructure in future biennia through the loan guarantees and other provisions of Engrossed Senate Joint Resolution No. 8204 and Engrossed Senate Bill No. 5624. Therefore, in the 2017-2019 fiscal biennium the legislature intends to allocate one hundred ninety-four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r>
        <w:rPr>
          <w:u w:val="single"/>
        </w:rPr>
        <w:t xml:space="preserve">, but compensation and reimbursement for travel expenses for board members under these statutes is suspended during the 2015-2017 fiscal biennium</w:t>
      </w:r>
      <w:r>
        <w:rPr/>
        <w:t xml:space="preserve">.</w:t>
      </w:r>
    </w:p>
    <w:p>
      <w:pPr>
        <w:spacing w:before="0" w:after="0" w:line="408" w:lineRule="exact"/>
        <w:ind w:left="0" w:right="0" w:firstLine="576"/>
        <w:jc w:val="left"/>
      </w:pPr>
      <w:r>
        <w:rPr/>
        <w:t xml:space="preserve">(9)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fiscal biennium,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u w:val="single"/>
        </w:rPr>
        <w:t xml:space="preserve">(8) During the 2015-2017 fiscal biennium, the legislature may appropriate moneys from the account to fund economic development programs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334</w:t>
      </w:r>
      <w:r>
        <w:rPr/>
        <w:t xml:space="preserve">.</w:t>
      </w:r>
      <w:r>
        <w:t xml:space="preserve">077</w:t>
      </w:r>
      <w:r>
        <w:rPr/>
        <w:t xml:space="preserve"> and 2008 c 275 s 7 are each amended to read as follows:</w:t>
      </w:r>
    </w:p>
    <w:p>
      <w:pPr>
        <w:spacing w:before="0" w:after="0" w:line="408" w:lineRule="exact"/>
        <w:ind w:left="0" w:right="0" w:firstLine="576"/>
        <w:jc w:val="left"/>
      </w:pPr>
      <w:r>
        <w:rPr/>
        <w:t xml:space="preserve">The skeletal human remains assistance account is created in the custody of the state treasurer. All appropriations provided by the legislature for this purpose as well as any reimbursement for services provided pursuant to chapter 275, Laws of 2008 must be deposited in the account. Expenditures from the account may be used only for archaeological determinations and excavations of inadvertently discovered skeletal human remains, and removal and reinterment of such remains when necessary. Only the director or the director's designee may authorize expenditures from the account. The account is subject to the allotment procedures under chapter 43.88 RCW, but an appropriation is not required for expenditures. </w:t>
      </w:r>
      <w:r>
        <w:rPr>
          <w:u w:val="single"/>
        </w:rPr>
        <w:t xml:space="preserve">During the 2015-2017 fiscal biennium, the legislature may appropriate moneys from the account to the operations of the department of archeology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Any moneys remaining in the life sciences discovery fund as of July 1, 2015, must be transferred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rPr>
          <w:u w:val="single"/>
        </w:rPr>
        <w:t xml:space="preserve">During fiscal year 2016, the department of commerce may expend funds from the account to review deed of trust and foreclosure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For the 2015-2017 fiscal biennium, forest practices regulation at the department of natural resources</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(c)[(e)](i) of this subsection;</w:t>
      </w:r>
    </w:p>
    <w:p>
      <w:pPr>
        <w:spacing w:before="0" w:after="0" w:line="408" w:lineRule="exact"/>
        <w:ind w:left="0" w:right="0" w:firstLine="576"/>
        <w:jc w:val="left"/>
      </w:pPr>
      <w:r>
        <w:rPr/>
        <w:t xml:space="preserve">(ii) Remedial actions, including planning for adaptive reuse of properties as provided for under (c)[(e)](iv)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(c)[(e)](iv)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spacing w:before="0" w:after="0" w:line="408" w:lineRule="exact"/>
        <w:ind w:left="0" w:right="0" w:firstLine="576"/>
        <w:jc w:val="left"/>
      </w:pPr>
      <w:r>
        <w:rPr>
          <w:u w:val="single"/>
        </w:rPr>
        <w:t xml:space="preserve">(5) During the 2015</w:t>
      </w:r>
      <w:r>
        <w:rPr>
          <w:u w:val="single"/>
        </w:rPr>
        <w:noBreakHyphen/>
      </w:r>
      <w:r>
        <w:rPr>
          <w:u w:val="single"/>
        </w:rPr>
        <w:t xml:space="preserve">2017 fiscal biennium, seventy</w:t>
      </w:r>
      <w:r>
        <w:rPr>
          <w:u w:val="single"/>
        </w:rPr>
        <w:noBreakHyphen/>
      </w:r>
      <w:r>
        <w:rPr>
          <w:u w:val="single"/>
        </w:rPr>
        <w:t xml:space="preserve">seven and one</w:t>
      </w:r>
      <w:r>
        <w:rPr>
          <w:u w:val="single"/>
        </w:rPr>
        <w:noBreakHyphen/>
      </w:r>
      <w:r>
        <w:rPr>
          <w:u w:val="single"/>
        </w:rPr>
        <w:t xml:space="preserve">half percent of the sums collected and remitted under RCW 82.08.150 (1) and (2) must be deposited in the state general fund, and the remainder collected and remitted under RCW 82.08.150 (1) and (2) must be deposited in the liquor excise tax fund. In addition,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spacing w:before="0" w:after="0" w:line="408" w:lineRule="exact"/>
        <w:ind w:left="0" w:right="0" w:firstLine="576"/>
        <w:jc w:val="left"/>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spacing w:before="0" w:after="0" w:line="408" w:lineRule="exact"/>
        <w:ind w:left="0" w:right="0" w:firstLine="576"/>
        <w:jc w:val="left"/>
      </w:pPr>
      <w:r>
        <w:rPr/>
        <w:t xml:space="preserve"> </w:t>
      </w:r>
      <w:r>
        <w:rPr>
          <w:u w:val="single"/>
        </w:rPr>
        <w:t xml:space="preserve">(2) During the 2015-2017 fiscal biennium, any amount above one million three hundred fifty thousand dollars per fiscal year must be allocated to counties by the state treasurer for boating safety, education, and law enforcement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UNRESTRICTED RESERVES.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950 (RCW 43.325.040) of this act expires June 30, 2016.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$6,795,000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w:t>
      </w:r>
      <w:r>
        <w:t>((</w:t>
      </w:r>
      <w:r>
        <w:rPr>
          <w:strike/>
        </w:rPr>
        <w:t xml:space="preserve">$1,426,000</w:t>
      </w:r>
      <w:r>
        <w:t>))</w:t>
      </w:r>
      <w:r>
        <w:rPr/>
        <w:t xml:space="preserve"> </w:t>
      </w:r>
      <w:r>
        <w:rPr>
          <w:u w:val="single"/>
        </w:rPr>
        <w:t xml:space="preserve">$1,113,000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0" w:after="0" w:line="408" w:lineRule="exact"/>
        <w:ind w:left="0" w:right="0" w:firstLine="576"/>
        <w:jc w:val="left"/>
      </w:pPr>
      <w:r>
        <w:rPr>
          <w:u w:val="single"/>
        </w:rPr>
        <w:t xml:space="preserve">(14) $99,000 of the general fund—state appropriation for fiscal year 2015 is provided solely for payment of billings from the office of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$12,345,000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w:t>
      </w:r>
      <w:r>
        <w:t>((</w:t>
      </w:r>
      <w:r>
        <w:rPr>
          <w:strike/>
        </w:rPr>
        <w:t xml:space="preserve">$956,000</w:t>
      </w:r>
      <w:r>
        <w:t>))</w:t>
      </w:r>
      <w:r>
        <w:rPr/>
        <w:t xml:space="preserve"> </w:t>
      </w:r>
      <w:r>
        <w:rPr>
          <w:u w:val="single"/>
        </w:rPr>
        <w:t xml:space="preserve">$1,196,000</w:t>
      </w:r>
      <w:r>
        <w:rPr/>
        <w:t xml:space="preserve">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$7,350,000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$303,014,000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$496,635,000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$1,113,520,000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$86,844,000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$357,540,000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$889,962,000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$370,863,000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$1,269,596,000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$22,094,000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$2,039,291,000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$146,064,000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$359,998,000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$365,984,000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$170,661,000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$62,915,000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$126,787,000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$87,604,000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$2,059,232,000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$8,651,386,000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$8,003,000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$13,618,548,000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w:t>
      </w:r>
      <w:r>
        <w:t>((</w:t>
      </w:r>
      <w:r>
        <w:rPr>
          <w:strike/>
        </w:rPr>
        <w:t xml:space="preserve">If neither of the bills is enacted by June 30, 2013, the amounts provided in this subsection shall lapse.</w:t>
      </w:r>
      <w:r>
        <w:t>))</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$8,003,000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t xml:space="preserve"> </w:t>
      </w:r>
      <w:r>
        <w:rPr>
          <w:u w:val="single"/>
        </w:rPr>
        <w:t xml:space="preserve">$11,997,000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w:t>
      </w:r>
      <w:r>
        <w:t>((</w:t>
      </w:r>
      <w:r>
        <w:rPr>
          <w:strike/>
        </w:rPr>
        <w:t xml:space="preserve">If Second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(57) $1,119,000 of the general fund</w:t>
      </w:r>
      <w:r>
        <w:rPr>
          <w:rFonts w:ascii="Times New Roman" w:hAnsi="Times New Roman"/>
          <w:u w:val="single"/>
        </w:rPr>
        <w:t xml:space="preserve">—</w:t>
      </w:r>
      <w:r>
        <w:rPr>
          <w:u w:val="single"/>
        </w:rPr>
        <w:t xml:space="preserve">state appropriation for fiscal year 2015 is provided solely for vaccines for children covered under the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$5,079,000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t>((</w:t>
      </w:r>
      <w:r>
        <w:rPr>
          <w:strike/>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strike/>
        </w:rPr>
        <w:t xml:space="preserve">(2) In accordance with RCW 43.70.250 and 43.135.055, the department is authorized to establish and raise fees in fiscal year </w:t>
      </w:r>
      <w:r>
        <w:rPr>
          <w:strike/>
        </w:rPr>
        <w:t xml:space="preserve">2014</w:t>
      </w:r>
      <w:r>
        <w:rPr>
          <w:strike/>
        </w:rPr>
        <w:t xml:space="preserve"> </w:t>
      </w:r>
      <w:r>
        <w:rPr>
          <w:strike/>
        </w:rPr>
        <w:t xml:space="preserve">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strike/>
        </w:rPr>
        <w:t xml:space="preserve">(3) $150,000 of the state toxics control account</w:t>
      </w:r>
      <w:r>
        <w:rPr>
          <w:rFonts w:ascii="Times New Roman" w:hAnsi="Times New Roman"/>
          <w:strike/>
        </w:rPr>
        <w:t xml:space="preserve">—</w:t>
      </w:r>
      <w:r>
        <w:rPr>
          <w:strike/>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strike/>
        </w:rPr>
        <w:t xml:space="preserve">(4)(a) $64,000 of the medicaid fraud penalty account</w:t>
      </w:r>
      <w:r>
        <w:rPr>
          <w:rFonts w:ascii="Times New Roman" w:hAnsi="Times New Roman"/>
          <w:strike/>
        </w:rPr>
        <w:t xml:space="preserve">—</w:t>
      </w:r>
      <w:r>
        <w:rPr>
          <w:strike/>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strike/>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strike/>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strike/>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strike/>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strike/>
        </w:rPr>
        <w:t xml:space="preserve">(5) $180,000 of the general fund</w:t>
      </w:r>
      <w:r>
        <w:rPr>
          <w:rFonts w:ascii="Times New Roman" w:hAnsi="Times New Roman"/>
          <w:strike/>
        </w:rPr>
        <w:t xml:space="preserve">—</w:t>
      </w:r>
      <w:r>
        <w:rPr>
          <w:strike/>
        </w:rPr>
        <w:t xml:space="preserve">state appropriation for fiscal year 2014 and $150,000 of the general fund</w:t>
      </w:r>
      <w:r>
        <w:rPr>
          <w:rFonts w:ascii="Times New Roman" w:hAnsi="Times New Roman"/>
          <w:strike/>
        </w:rPr>
        <w:t xml:space="preserve">—</w:t>
      </w:r>
      <w:r>
        <w:rPr>
          <w:strike/>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strike/>
        </w:rPr>
        <w:t xml:space="preserve">(6) $6,000 of the general fund</w:t>
      </w:r>
      <w:r>
        <w:rPr>
          <w:rFonts w:ascii="Times New Roman" w:hAnsi="Times New Roman"/>
          <w:strike/>
        </w:rPr>
        <w:t xml:space="preserve">—</w:t>
      </w:r>
      <w:r>
        <w:rPr>
          <w:strike/>
        </w:rPr>
        <w:t xml:space="preserve">state appropriation for fiscal year 2014 and $5,000 of the general fund</w:t>
      </w:r>
      <w:r>
        <w:rPr>
          <w:rFonts w:ascii="Times New Roman" w:hAnsi="Times New Roman"/>
          <w:strike/>
        </w:rPr>
        <w:t xml:space="preserve">—</w:t>
      </w:r>
      <w:r>
        <w:rPr>
          <w:strike/>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strike/>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strike/>
        </w:rPr>
        <w:t xml:space="preserve">(i) Two-year institutions of higher education;</w:t>
      </w:r>
    </w:p>
    <w:p>
      <w:pPr>
        <w:spacing w:before="0" w:after="0" w:line="408" w:lineRule="exact"/>
        <w:ind w:left="0" w:right="0" w:firstLine="576"/>
        <w:jc w:val="left"/>
      </w:pPr>
      <w:r>
        <w:rPr>
          <w:strike/>
        </w:rPr>
        <w:t xml:space="preserve">(ii) Four-year institutions of higher education;</w:t>
      </w:r>
    </w:p>
    <w:p>
      <w:pPr>
        <w:spacing w:before="0" w:after="0" w:line="408" w:lineRule="exact"/>
        <w:ind w:left="0" w:right="0" w:firstLine="576"/>
        <w:jc w:val="left"/>
      </w:pPr>
      <w:r>
        <w:rPr>
          <w:strike/>
        </w:rPr>
        <w:t xml:space="preserve">(iii) The University of Washington medical school;</w:t>
      </w:r>
    </w:p>
    <w:p>
      <w:pPr>
        <w:spacing w:before="0" w:after="0" w:line="408" w:lineRule="exact"/>
        <w:ind w:left="0" w:right="0" w:firstLine="576"/>
        <w:jc w:val="left"/>
      </w:pPr>
      <w:r>
        <w:rPr>
          <w:strike/>
        </w:rPr>
        <w:t xml:space="preserve">(iv) The college of osteopathic medicine at the Pacific Northwest University of Health Sciences;</w:t>
      </w:r>
    </w:p>
    <w:p>
      <w:pPr>
        <w:spacing w:before="0" w:after="0" w:line="408" w:lineRule="exact"/>
        <w:ind w:left="0" w:right="0" w:firstLine="576"/>
        <w:jc w:val="left"/>
      </w:pPr>
      <w:r>
        <w:rPr>
          <w:strike/>
        </w:rPr>
        <w:t xml:space="preserve">(v) The health care personnel shortage task force;</w:t>
      </w:r>
    </w:p>
    <w:p>
      <w:pPr>
        <w:spacing w:before="0" w:after="0" w:line="408" w:lineRule="exact"/>
        <w:ind w:left="0" w:right="0" w:firstLine="576"/>
        <w:jc w:val="left"/>
      </w:pPr>
      <w:r>
        <w:rPr>
          <w:strike/>
        </w:rPr>
        <w:t xml:space="preserve">(vi) Statewide organizations representing hospitals and other facilities that accept clinical placements;</w:t>
      </w:r>
    </w:p>
    <w:p>
      <w:pPr>
        <w:spacing w:before="0" w:after="0" w:line="408" w:lineRule="exact"/>
        <w:ind w:left="0" w:right="0" w:firstLine="576"/>
        <w:jc w:val="left"/>
      </w:pPr>
      <w:r>
        <w:rPr>
          <w:strike/>
        </w:rPr>
        <w:t xml:space="preserve">(vii) A statewide organization representing physicians;</w:t>
      </w:r>
    </w:p>
    <w:p>
      <w:pPr>
        <w:spacing w:before="0" w:after="0" w:line="408" w:lineRule="exact"/>
        <w:ind w:left="0" w:right="0" w:firstLine="576"/>
        <w:jc w:val="left"/>
      </w:pPr>
      <w:r>
        <w:rPr>
          <w:strike/>
        </w:rPr>
        <w:t xml:space="preserve">(viii) A statewide organization representing osteopathic physicians and surgeons;</w:t>
      </w:r>
    </w:p>
    <w:p>
      <w:pPr>
        <w:spacing w:before="0" w:after="0" w:line="408" w:lineRule="exact"/>
        <w:ind w:left="0" w:right="0" w:firstLine="576"/>
        <w:jc w:val="left"/>
      </w:pPr>
      <w:r>
        <w:rPr>
          <w:strike/>
        </w:rPr>
        <w:t xml:space="preserve">(ix) A statewide organization representing nurses;</w:t>
      </w:r>
    </w:p>
    <w:p>
      <w:pPr>
        <w:spacing w:before="0" w:after="0" w:line="408" w:lineRule="exact"/>
        <w:ind w:left="0" w:right="0" w:firstLine="576"/>
        <w:jc w:val="left"/>
      </w:pPr>
      <w:r>
        <w:rPr>
          <w:strike/>
        </w:rPr>
        <w:t xml:space="preserve">(x) A labor organization representing nurses; and</w:t>
      </w:r>
    </w:p>
    <w:p>
      <w:pPr>
        <w:spacing w:before="0" w:after="0" w:line="408" w:lineRule="exact"/>
        <w:ind w:left="0" w:right="0" w:firstLine="576"/>
        <w:jc w:val="left"/>
      </w:pPr>
      <w:r>
        <w:rPr>
          <w:strike/>
        </w:rPr>
        <w:t xml:space="preserve">(xi) Any other groups deemed appropriate by the department in consultation with the health care personnel shortage task force.</w:t>
      </w:r>
    </w:p>
    <w:p>
      <w:pPr>
        <w:spacing w:before="0" w:after="0" w:line="408" w:lineRule="exact"/>
        <w:ind w:left="0" w:right="0" w:firstLine="576"/>
        <w:jc w:val="left"/>
      </w:pPr>
      <w:r>
        <w:rPr>
          <w:strike/>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strike/>
        </w:rPr>
        <w:t xml:space="preserve">(7) $65,000 of the general fund</w:t>
      </w:r>
      <w:r>
        <w:rPr>
          <w:rFonts w:ascii="Times New Roman" w:hAnsi="Times New Roman"/>
          <w:strike/>
        </w:rPr>
        <w:t xml:space="preserve">—</w:t>
      </w:r>
      <w:r>
        <w:rPr>
          <w:strike/>
        </w:rPr>
        <w:t xml:space="preserve">state appropriation for fiscal year 2014 and $65,000 of the general fund</w:t>
      </w:r>
      <w:r>
        <w:rPr>
          <w:rFonts w:ascii="Times New Roman" w:hAnsi="Times New Roman"/>
          <w:strike/>
        </w:rPr>
        <w:t xml:space="preserve">—</w:t>
      </w:r>
      <w:r>
        <w:rPr>
          <w:strike/>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strike/>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strike/>
        </w:rPr>
        <w:t xml:space="preserve">(9) $654,000 of the health professions account</w:t>
      </w:r>
      <w:r>
        <w:rPr>
          <w:rFonts w:ascii="Times New Roman" w:hAnsi="Times New Roman"/>
          <w:strike/>
        </w:rPr>
        <w:t xml:space="preserve">—</w:t>
      </w:r>
      <w:r>
        <w:rPr>
          <w:strike/>
        </w:rPr>
        <w:t xml:space="preserve">state appropriation is provided solely for the implementation of Engrossed Senate Bill No. 5206 (health sciences library). If the bill is not enacted by June 30, 2013, the amount provided in this subsection shall lapse.</w:t>
      </w:r>
    </w:p>
    <w:p>
      <w:pPr>
        <w:spacing w:before="0" w:after="0" w:line="408" w:lineRule="exact"/>
        <w:ind w:left="0" w:right="0" w:firstLine="576"/>
        <w:jc w:val="left"/>
      </w:pPr>
      <w:r>
        <w:rPr>
          <w:strike/>
        </w:rPr>
        <w:t xml:space="preserve">(10) $35,000 of the health professions account</w:t>
      </w:r>
      <w:r>
        <w:rPr>
          <w:rFonts w:ascii="Times New Roman" w:hAnsi="Times New Roman"/>
          <w:strike/>
        </w:rPr>
        <w:t xml:space="preserve">—</w:t>
      </w:r>
      <w:r>
        <w:rPr>
          <w:strike/>
        </w:rPr>
        <w:t xml:space="preserve">state appropriation is provided solely for the implementation of House Bill No. 1003 (health professions licensees). If the bill is not enacted by June 30, 2013, the amount provided in this subsection shall lapse.</w:t>
      </w:r>
    </w:p>
    <w:p>
      <w:pPr>
        <w:spacing w:before="0" w:after="0" w:line="408" w:lineRule="exact"/>
        <w:ind w:left="0" w:right="0" w:firstLine="576"/>
        <w:jc w:val="left"/>
      </w:pPr>
      <w:r>
        <w:rPr>
          <w:strike/>
        </w:rPr>
        <w:t xml:space="preserve">(11) $10,000 of the health professions account</w:t>
      </w:r>
      <w:r>
        <w:rPr>
          <w:rFonts w:ascii="Times New Roman" w:hAnsi="Times New Roman"/>
          <w:strike/>
        </w:rPr>
        <w:t xml:space="preserve">—</w:t>
      </w:r>
      <w:r>
        <w:rPr>
          <w:strike/>
        </w:rPr>
        <w:t xml:space="preserve">state appropriation is provided solely for the implementation of Substitute House Bill No. 1270 (board of denturists). If the bill is not enacted by June 30, 2013, the amount provided in this subsection shall lapse.</w:t>
      </w:r>
    </w:p>
    <w:p>
      <w:pPr>
        <w:spacing w:before="0" w:after="0" w:line="408" w:lineRule="exact"/>
        <w:ind w:left="0" w:right="0" w:firstLine="576"/>
        <w:jc w:val="left"/>
      </w:pPr>
      <w:r>
        <w:rPr>
          <w:strike/>
        </w:rPr>
        <w:t xml:space="preserve">(12) $10,000 of the health professions account</w:t>
      </w:r>
      <w:r>
        <w:rPr>
          <w:rFonts w:ascii="Times New Roman" w:hAnsi="Times New Roman"/>
          <w:strike/>
        </w:rPr>
        <w:t xml:space="preserve">—</w:t>
      </w:r>
      <w:r>
        <w:rPr>
          <w:strike/>
        </w:rPr>
        <w:t xml:space="preserve">state appropriation is provided solely for the implementation of Substitute House Bill No. 1271 (denturism). If the bill is not enacted by June 30, 2013, the amount provided in this subsection shall lapse.</w:t>
      </w:r>
    </w:p>
    <w:p>
      <w:pPr>
        <w:spacing w:before="0" w:after="0" w:line="408" w:lineRule="exact"/>
        <w:ind w:left="0" w:right="0" w:firstLine="576"/>
        <w:jc w:val="left"/>
      </w:pPr>
      <w:r>
        <w:rPr>
          <w:strike/>
        </w:rPr>
        <w:t xml:space="preserve">(13) $11,000 of the health professions account</w:t>
      </w:r>
      <w:r>
        <w:rPr>
          <w:rFonts w:ascii="Times New Roman" w:hAnsi="Times New Roman"/>
          <w:strike/>
        </w:rPr>
        <w:t xml:space="preserve">—</w:t>
      </w:r>
      <w:r>
        <w:rPr>
          <w:strike/>
        </w:rPr>
        <w:t xml:space="preserve">state appropriation is provided solely for the implementation of House Bill No. 1330 (dental hygienists, assistants). If the bill is not enacted by June 30, 2013, the amount provided in this subsection shall lapse.</w:t>
      </w:r>
    </w:p>
    <w:p>
      <w:pPr>
        <w:spacing w:before="0" w:after="0" w:line="408" w:lineRule="exact"/>
        <w:ind w:left="0" w:right="0" w:firstLine="576"/>
        <w:jc w:val="left"/>
      </w:pPr>
      <w:r>
        <w:rPr>
          <w:strike/>
        </w:rPr>
        <w:t xml:space="preserve">(14) $34,000 of the health professions account</w:t>
      </w:r>
      <w:r>
        <w:rPr>
          <w:rFonts w:ascii="Times New Roman" w:hAnsi="Times New Roman"/>
          <w:strike/>
        </w:rPr>
        <w:t xml:space="preserve">—</w:t>
      </w:r>
      <w:r>
        <w:rPr>
          <w:strike/>
        </w:rPr>
        <w:t xml:space="preserve">state appropriation is provided solely for the implementation of Substitute House Bill No. 1376 (suicide assessment training). If the bill is not enacted by June 30, 2013, the amount provided in this subsection shall lapse.</w:t>
      </w:r>
    </w:p>
    <w:p>
      <w:pPr>
        <w:spacing w:before="0" w:after="0" w:line="408" w:lineRule="exact"/>
        <w:ind w:left="0" w:right="0" w:firstLine="576"/>
        <w:jc w:val="left"/>
      </w:pPr>
      <w:r>
        <w:rPr>
          <w:strike/>
        </w:rPr>
        <w:t xml:space="preserve">(15) $10,000 of the health professions account</w:t>
      </w:r>
      <w:r>
        <w:rPr>
          <w:rFonts w:ascii="Times New Roman" w:hAnsi="Times New Roman"/>
          <w:strike/>
        </w:rPr>
        <w:t xml:space="preserve">—</w:t>
      </w:r>
      <w:r>
        <w:rPr>
          <w:strike/>
        </w:rPr>
        <w:t xml:space="preserve">state appropriation is provided solely for the implementation of Engrossed Substitute House Bill No. 1515 (medical assistants). If the bill is not enacted by June 30, 2013, the amount provided in this subsection shall lapse.</w:t>
      </w:r>
    </w:p>
    <w:p>
      <w:pPr>
        <w:spacing w:before="0" w:after="0" w:line="408" w:lineRule="exact"/>
        <w:ind w:left="0" w:right="0" w:firstLine="576"/>
        <w:jc w:val="left"/>
      </w:pPr>
      <w:r>
        <w:rPr>
          <w:strike/>
        </w:rPr>
        <w:t xml:space="preserve">(16) $2,185,000 of the health professions account</w:t>
      </w:r>
      <w:r>
        <w:rPr>
          <w:rFonts w:ascii="Times New Roman" w:hAnsi="Times New Roman"/>
          <w:strike/>
        </w:rPr>
        <w:t xml:space="preserve">—</w:t>
      </w:r>
      <w:r>
        <w:rPr>
          <w:strike/>
        </w:rPr>
        <w:t xml:space="preserve">state appropriation is provided solely for the implementation of Second Substitute House Bill No. 1518 (disciplinary authorities). If the bill is not enacted by June 30, 2013, the amount provided in this subsection shall lapse.</w:t>
      </w:r>
    </w:p>
    <w:p>
      <w:pPr>
        <w:spacing w:before="0" w:after="0" w:line="408" w:lineRule="exact"/>
        <w:ind w:left="0" w:right="0" w:firstLine="576"/>
        <w:jc w:val="left"/>
      </w:pPr>
      <w:r>
        <w:rPr>
          <w:strike/>
        </w:rPr>
        <w:t xml:space="preserve">(17) $141,000 of the general fund</w:t>
      </w:r>
      <w:r>
        <w:rPr>
          <w:rFonts w:ascii="Times New Roman" w:hAnsi="Times New Roman"/>
          <w:strike/>
        </w:rPr>
        <w:t xml:space="preserve">—</w:t>
      </w:r>
      <w:r>
        <w:rPr>
          <w:strike/>
        </w:rPr>
        <w:t xml:space="preserve">private/local appropriation is provided solely for the implementation of Substitute House Bill No. 1525 (birth certificates). If the bill is not enacted by June 30, 2013, the amount provided in this subsection shall lapse.</w:t>
      </w:r>
    </w:p>
    <w:p>
      <w:pPr>
        <w:spacing w:before="0" w:after="0" w:line="408" w:lineRule="exact"/>
        <w:ind w:left="0" w:right="0" w:firstLine="576"/>
        <w:jc w:val="left"/>
      </w:pPr>
      <w:r>
        <w:rPr>
          <w:strike/>
        </w:rPr>
        <w:t xml:space="preserve">(18) $220,000 of the health professions account</w:t>
      </w:r>
      <w:r>
        <w:rPr>
          <w:rFonts w:ascii="Times New Roman" w:hAnsi="Times New Roman"/>
          <w:strike/>
        </w:rPr>
        <w:t xml:space="preserve">—</w:t>
      </w:r>
      <w:r>
        <w:rPr>
          <w:strike/>
        </w:rPr>
        <w:t xml:space="preserve">state appropriation is provided solely for the implementation of House Bill No. 1534 (impaired dentist program). If the bill is not enacted by June 30, 2013, the amount provided in this subsection shall lapse.</w:t>
      </w:r>
    </w:p>
    <w:p>
      <w:pPr>
        <w:spacing w:before="0" w:after="0" w:line="408" w:lineRule="exact"/>
        <w:ind w:left="0" w:right="0" w:firstLine="576"/>
        <w:jc w:val="left"/>
      </w:pPr>
      <w:r>
        <w:rPr>
          <w:strike/>
        </w:rPr>
        <w:t xml:space="preserve">(19) $51,000 of the health professions account</w:t>
      </w:r>
      <w:r>
        <w:rPr>
          <w:rFonts w:ascii="Times New Roman" w:hAnsi="Times New Roman"/>
          <w:strike/>
        </w:rPr>
        <w:t xml:space="preserve">—</w:t>
      </w:r>
      <w:r>
        <w:rPr>
          <w:strike/>
        </w:rPr>
        <w:t xml:space="preserve">state appropriation is provided solely for the implementation of House Bill No. 1609 (board of pharmacy). If the bill is not enacted by June 30, 2013, the amount provided in this subsection shall lapse.</w:t>
      </w:r>
    </w:p>
    <w:p>
      <w:pPr>
        <w:spacing w:before="0" w:after="0" w:line="408" w:lineRule="exact"/>
        <w:ind w:left="0" w:right="0" w:firstLine="576"/>
        <w:jc w:val="left"/>
      </w:pPr>
      <w:r>
        <w:rPr>
          <w:strike/>
        </w:rPr>
        <w:t xml:space="preserve">(20) $12,000 of the health professions account</w:t>
      </w:r>
      <w:r>
        <w:rPr>
          <w:rFonts w:ascii="Times New Roman" w:hAnsi="Times New Roman"/>
          <w:strike/>
        </w:rPr>
        <w:t xml:space="preserve">—</w:t>
      </w:r>
      <w:r>
        <w:rPr>
          <w:strike/>
        </w:rPr>
        <w:t xml:space="preserve">state appropriation is provided solely for the implementation of Substitute House Bill No. 1629 (home care aide continuing education). If the bill is not enacted by June 30, 2013, the amount provided in this subsection shall lapse.</w:t>
      </w:r>
    </w:p>
    <w:p>
      <w:pPr>
        <w:spacing w:before="0" w:after="0" w:line="408" w:lineRule="exact"/>
        <w:ind w:left="0" w:right="0" w:firstLine="576"/>
        <w:jc w:val="left"/>
      </w:pPr>
      <w:r>
        <w:rPr>
          <w:strike/>
        </w:rPr>
        <w:t xml:space="preserve">(21) $18,000 of the health professions account</w:t>
      </w:r>
      <w:r>
        <w:rPr>
          <w:rFonts w:ascii="Times New Roman" w:hAnsi="Times New Roman"/>
          <w:strike/>
        </w:rPr>
        <w:t xml:space="preserve">—</w:t>
      </w:r>
      <w:r>
        <w:rPr>
          <w:strike/>
        </w:rPr>
        <w:t xml:space="preserve">state appropriation is provided solely for the implementation of Substitute House Bill No. 1737 (physician assistants). If the bill is not enacted by June 30, 2013, the amount provided in this subsection shall lapse.</w:t>
      </w:r>
    </w:p>
    <w:p>
      <w:pPr>
        <w:spacing w:before="0" w:after="0" w:line="408" w:lineRule="exact"/>
        <w:ind w:left="0" w:right="0" w:firstLine="576"/>
        <w:jc w:val="left"/>
      </w:pPr>
      <w:r>
        <w:rPr>
          <w:strike/>
        </w:rPr>
        <w:t xml:space="preserve">(22) $77,000 of the general fund</w:t>
      </w:r>
      <w:r>
        <w:rPr>
          <w:rFonts w:ascii="Times New Roman" w:hAnsi="Times New Roman"/>
          <w:strike/>
        </w:rPr>
        <w:t xml:space="preserve">—</w:t>
      </w:r>
      <w:r>
        <w:rPr>
          <w:strike/>
        </w:rPr>
        <w:t xml:space="preserve">state appropriation for fiscal year 2014 and $38,000 of the general fund</w:t>
      </w:r>
      <w:r>
        <w:rPr>
          <w:rFonts w:ascii="Times New Roman" w:hAnsi="Times New Roman"/>
          <w:strike/>
        </w:rPr>
        <w:t xml:space="preserve">—</w:t>
      </w:r>
      <w:r>
        <w:rPr>
          <w:strike/>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strike/>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strike/>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strike/>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strike/>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strike/>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strike/>
        </w:rPr>
        <w:t xml:space="preserve">(23) Within the general fund</w:t>
      </w:r>
      <w:r>
        <w:rPr>
          <w:rFonts w:ascii="Times New Roman" w:hAnsi="Times New Roman"/>
          <w:strike/>
        </w:rPr>
        <w:t xml:space="preserve">—</w:t>
      </w:r>
      <w:r>
        <w:rPr>
          <w:strike/>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strike/>
        </w:rPr>
        <w:t xml:space="preserve">(24)(a) $350,000 of the general fund</w:t>
      </w:r>
      <w:r>
        <w:rPr>
          <w:rFonts w:ascii="Times New Roman" w:hAnsi="Times New Roman"/>
          <w:strike/>
        </w:rPr>
        <w:t xml:space="preserve">—</w:t>
      </w:r>
      <w:r>
        <w:rPr>
          <w:strike/>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strike/>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strike/>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strike/>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strike/>
        </w:rPr>
        <w:t xml:space="preserve">(iv) Revise statewide guidelines for schools for quality health and fitness education; and</w:t>
      </w:r>
    </w:p>
    <w:p>
      <w:pPr>
        <w:spacing w:before="0" w:after="0" w:line="408" w:lineRule="exact"/>
        <w:ind w:left="0" w:right="0" w:firstLine="576"/>
        <w:jc w:val="left"/>
      </w:pPr>
      <w:r>
        <w:rPr>
          <w:strike/>
        </w:rPr>
        <w:t xml:space="preserve">(v) Establish performance metrics.</w:t>
      </w:r>
    </w:p>
    <w:p>
      <w:pPr>
        <w:spacing w:before="0" w:after="0" w:line="408" w:lineRule="exact"/>
        <w:ind w:left="0" w:right="0" w:firstLine="576"/>
        <w:jc w:val="left"/>
      </w:pPr>
      <w:r>
        <w:rPr>
          <w:strike/>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strike/>
        </w:rPr>
        <w:t xml:space="preserve">(i) An update and a summary of the current and expected impacts of the activities listed in (a) of this subsection;</w:t>
      </w:r>
    </w:p>
    <w:p>
      <w:pPr>
        <w:spacing w:before="0" w:after="0" w:line="408" w:lineRule="exact"/>
        <w:ind w:left="0" w:right="0" w:firstLine="576"/>
        <w:jc w:val="left"/>
      </w:pPr>
      <w:r>
        <w:rPr>
          <w:strike/>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strike/>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strike/>
        </w:rPr>
        <w:t xml:space="preserve">(25) $68,000 of the health professions account</w:t>
      </w:r>
      <w:r>
        <w:rPr>
          <w:rFonts w:ascii="Times New Roman" w:hAnsi="Times New Roman"/>
          <w:strike/>
        </w:rPr>
        <w:t xml:space="preserve">—</w:t>
      </w:r>
      <w:r>
        <w:rPr>
          <w:strike/>
        </w:rPr>
        <w:t xml:space="preserve">state appropriation is provided solely to implement Engrossed Substitute House Bill No. 2160 (physical therapists). If the bill is not enacted by June 30, 2014, the amount provided in this subsection shall lapse.</w:t>
      </w:r>
    </w:p>
    <w:p>
      <w:pPr>
        <w:spacing w:before="0" w:after="0" w:line="408" w:lineRule="exact"/>
        <w:ind w:left="0" w:right="0" w:firstLine="576"/>
        <w:jc w:val="left"/>
      </w:pPr>
      <w:r>
        <w:rPr>
          <w:strike/>
        </w:rPr>
        <w:t xml:space="preserve">(26) $251,000 of the health professions account</w:t>
      </w:r>
      <w:r>
        <w:rPr>
          <w:rFonts w:ascii="Times New Roman" w:hAnsi="Times New Roman"/>
          <w:strike/>
        </w:rPr>
        <w:t xml:space="preserve">—</w:t>
      </w:r>
      <w:r>
        <w:rPr>
          <w:strike/>
        </w:rPr>
        <w:t xml:space="preserve">state appropriation is provided solely to implement Engrossed Substitute House Bill No. 2315 (suicide prevention). If the bill is not enacted by June 30, 2014, the amount provided in this subsection shall lapse.</w:t>
      </w:r>
    </w:p>
    <w:p>
      <w:pPr>
        <w:spacing w:before="0" w:after="0" w:line="408" w:lineRule="exact"/>
        <w:ind w:left="0" w:right="0" w:firstLine="576"/>
        <w:jc w:val="left"/>
      </w:pPr>
      <w:r>
        <w:rPr>
          <w:strike/>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strike/>
        </w:rPr>
        <w:t xml:space="preserve">(i) Using prevalence data to determine the number of undiagnosed hepatitis C patients in the state;</w:t>
      </w:r>
    </w:p>
    <w:p>
      <w:pPr>
        <w:spacing w:before="0" w:after="0" w:line="408" w:lineRule="exact"/>
        <w:ind w:left="0" w:right="0" w:firstLine="576"/>
        <w:jc w:val="left"/>
      </w:pPr>
      <w:r>
        <w:rPr>
          <w:strike/>
        </w:rPr>
        <w:t xml:space="preserve">(ii) How to best reach undiagnosed patients, with special consideration to people born between 1945 and 1965, and new infections;</w:t>
      </w:r>
    </w:p>
    <w:p>
      <w:pPr>
        <w:spacing w:before="0" w:after="0" w:line="408" w:lineRule="exact"/>
        <w:ind w:left="0" w:right="0" w:firstLine="576"/>
        <w:jc w:val="left"/>
      </w:pPr>
      <w:r>
        <w:rPr>
          <w:strike/>
        </w:rPr>
        <w:t xml:space="preserve">(iii) The status of the more than sixty thousand state residents who have already been diagnosed with hepatitis C;</w:t>
      </w:r>
    </w:p>
    <w:p>
      <w:pPr>
        <w:spacing w:before="0" w:after="0" w:line="408" w:lineRule="exact"/>
        <w:ind w:left="0" w:right="0" w:firstLine="576"/>
        <w:jc w:val="left"/>
      </w:pPr>
      <w:r>
        <w:rPr>
          <w:strike/>
        </w:rPr>
        <w:t xml:space="preserve">(iv) A framework for improving hepatitis C testing and linkage to medical care; and</w:t>
      </w:r>
    </w:p>
    <w:p>
      <w:pPr>
        <w:spacing w:before="0" w:after="0" w:line="408" w:lineRule="exact"/>
        <w:ind w:left="0" w:right="0" w:firstLine="576"/>
        <w:jc w:val="left"/>
      </w:pPr>
      <w:r>
        <w:rPr>
          <w:strike/>
        </w:rPr>
        <w:t xml:space="preserve">(v) A framework for the prevention of hepatitis C.</w:t>
      </w:r>
    </w:p>
    <w:p>
      <w:pPr>
        <w:spacing w:before="0" w:after="0" w:line="408" w:lineRule="exact"/>
        <w:ind w:left="0" w:right="0" w:firstLine="576"/>
        <w:jc w:val="left"/>
      </w:pPr>
      <w:r>
        <w:rPr>
          <w:strike/>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strike/>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strike/>
        </w:rPr>
        <w:t xml:space="preserve">(29) $1,500,000 of the general fund</w:t>
      </w:r>
      <w:r>
        <w:rPr>
          <w:rFonts w:ascii="Times New Roman" w:hAnsi="Times New Roman"/>
          <w:strike/>
        </w:rPr>
        <w:t xml:space="preserve">—</w:t>
      </w:r>
      <w:r>
        <w:rPr>
          <w:strike/>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w:t>
      </w:r>
      <w:r>
        <w:t>((</w:t>
      </w:r>
      <w:r>
        <w:rPr>
          <w:strike/>
        </w:rPr>
        <w:t xml:space="preserve">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strike/>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strike/>
        </w:rPr>
        <w:t xml:space="preserve">(i) Options for increasing the capacity of work release beds to meet the number of eligible offenders;</w:t>
      </w:r>
    </w:p>
    <w:p>
      <w:pPr>
        <w:spacing w:before="0" w:after="0" w:line="408" w:lineRule="exact"/>
        <w:ind w:left="0" w:right="0" w:firstLine="576"/>
        <w:jc w:val="left"/>
      </w:pPr>
      <w:r>
        <w:rPr>
          <w:strike/>
        </w:rPr>
        <w:t xml:space="preserve">(ii) Potential cost savings to the state through contracting for or building new work release capacity;</w:t>
      </w:r>
    </w:p>
    <w:p>
      <w:pPr>
        <w:spacing w:before="0" w:after="0" w:line="408" w:lineRule="exact"/>
        <w:ind w:left="0" w:right="0" w:firstLine="576"/>
        <w:jc w:val="left"/>
      </w:pPr>
      <w:r>
        <w:rPr>
          <w:strike/>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strike/>
        </w:rPr>
        <w:t xml:space="preserve">(iv) Potential cost savings to the state from creation of a structured re-entry program.</w:t>
      </w:r>
    </w:p>
    <w:p>
      <w:pPr>
        <w:spacing w:before="0" w:after="0" w:line="408" w:lineRule="exact"/>
        <w:ind w:left="0" w:right="0" w:firstLine="576"/>
        <w:jc w:val="left"/>
      </w:pPr>
      <w:r>
        <w:rPr>
          <w:strike/>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strike/>
        </w:rPr>
        <w:t xml:space="preserve">(f)</w:t>
      </w:r>
      <w:r>
        <w:t>))</w:t>
      </w:r>
      <w:r>
        <w:rPr/>
        <w:t xml:space="preserve">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t>((</w:t>
      </w:r>
      <w:r>
        <w:rPr>
          <w:strike/>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strike/>
        </w:rPr>
        <w:t xml:space="preserve">(j)</w:t>
      </w:r>
      <w:r>
        <w:t>))</w:t>
      </w:r>
      <w:r>
        <w:rPr/>
        <w:t xml:space="preserve"> </w:t>
      </w:r>
      <w:r>
        <w:rPr>
          <w:u w:val="single"/>
        </w:rPr>
        <w:t xml:space="preserve">(f)</w:t>
      </w:r>
      <w:r>
        <w:rPr/>
        <w:t xml:space="preserve">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(m)</w:t>
      </w:r>
      <w:r>
        <w:t>))</w:t>
      </w:r>
      <w:r>
        <w:rPr/>
        <w:t xml:space="preserve"> </w:t>
      </w:r>
      <w:r>
        <w:rPr>
          <w:u w:val="single"/>
        </w:rPr>
        <w:t xml:space="preserve">(i)</w:t>
      </w:r>
      <w:r>
        <w:rPr/>
        <w:t xml:space="preserve">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(n)</w:t>
      </w:r>
      <w:r>
        <w:t>))</w:t>
      </w:r>
      <w:r>
        <w:rPr/>
        <w:t xml:space="preserve"> </w:t>
      </w:r>
      <w:r>
        <w:rPr>
          <w:u w:val="single"/>
        </w:rPr>
        <w:t xml:space="preserve">(j)</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(o)</w:t>
      </w:r>
      <w:r>
        <w:t>))</w:t>
      </w:r>
      <w:r>
        <w:rPr/>
        <w:t xml:space="preserve"> </w:t>
      </w:r>
      <w:r>
        <w:rPr>
          <w:u w:val="single"/>
        </w:rPr>
        <w:t xml:space="preserve">(k)</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(p)</w:t>
      </w:r>
      <w:r>
        <w:t>))</w:t>
      </w:r>
      <w:r>
        <w:rPr/>
        <w:t xml:space="preserve"> </w:t>
      </w:r>
      <w:r>
        <w:rPr>
          <w:u w:val="single"/>
        </w:rPr>
        <w:t xml:space="preserve">(l)</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(q)</w:t>
      </w:r>
      <w:r>
        <w:t>))</w:t>
      </w:r>
      <w:r>
        <w:rPr/>
        <w:t xml:space="preserve"> </w:t>
      </w:r>
      <w:r>
        <w:rPr>
          <w:u w:val="single"/>
        </w:rPr>
        <w:t xml:space="preserve">(m)</w:t>
      </w:r>
      <w:r>
        <w:rPr/>
        <w:t xml:space="preserve">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p>
    <w:p>
      <w:pPr>
        <w:spacing w:before="0" w:after="0" w:line="408" w:lineRule="exact"/>
        <w:ind w:left="0" w:right="0" w:firstLine="576"/>
        <w:jc w:val="left"/>
      </w:pPr>
      <w:r>
        <w:rPr>
          <w:strike/>
        </w:rPr>
        <w:t xml:space="preserve">(r)</w:t>
      </w:r>
      <w:r>
        <w:t>))</w:t>
      </w:r>
      <w:r>
        <w:rPr/>
        <w:t xml:space="preserve"> </w:t>
      </w:r>
      <w:r>
        <w:rPr>
          <w:u w:val="single"/>
        </w:rPr>
        <w:t xml:space="preserve">(n)</w:t>
      </w:r>
      <w:r>
        <w:rPr/>
        <w:t xml:space="preserve">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t>((</w:t>
      </w:r>
      <w:r>
        <w:rPr>
          <w:strike/>
        </w:rPr>
        <w:t xml:space="preserve">(s)</w:t>
      </w:r>
      <w:r>
        <w:t>))</w:t>
      </w:r>
      <w:r>
        <w:rPr/>
        <w:t xml:space="preserve"> </w:t>
      </w:r>
      <w:r>
        <w:rPr>
          <w:u w:val="single"/>
        </w:rPr>
        <w:t xml:space="preserve">(o)</w:t>
      </w:r>
      <w:r>
        <w:rPr/>
        <w:t xml:space="preserve">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$158,506,000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t xml:space="preserve"> </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for fiscal year 2015 is provided solely for safety and security assistance to Pierce county related to hosting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$5,605,692,000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w:t>
      </w:r>
      <w:r>
        <w:t>((</w:t>
      </w:r>
      <w:r>
        <w:rPr>
          <w:strike/>
        </w:rPr>
        <w:t xml:space="preserve">$29,574,000</w:t>
      </w:r>
      <w:r>
        <w:t>))</w:t>
      </w:r>
      <w:r>
        <w:rPr/>
        <w:t xml:space="preserve"> </w:t>
      </w:r>
      <w:r>
        <w:rPr>
          <w:u w:val="single"/>
        </w:rPr>
        <w:t xml:space="preserve">$30,280,000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510 (uncodified) is amended to read as follows:</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$5,227,000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$630,142,000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$95,197,000</w:t>
      </w:r>
      <w:r>
        <w:t>))</w:t>
      </w:r>
    </w:p>
    <w:p>
      <w:pPr>
        <w:spacing w:before="0" w:after="0" w:line="408" w:lineRule="exact"/>
        <w:ind w:left="0" w:right="0" w:firstLine="0"/>
        <w:jc w:val="left"/>
        <w:tabs>
          <w:tab w:val="right" w:leader="none" w:pos="9936"/>
        </w:tabs>
      </w:pPr>
      <w:r>
        <w:tab/>
      </w:r>
      <w:r>
        <w:rPr>
          <w:u w:val="single"/>
        </w:rPr>
        <w:t xml:space="preserve">$17,697,000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$77,718,000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$720,458,000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$46,456,000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$52,272,000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t xml:space="preserve">$120,300,000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9997101</w:t>
      </w:r>
      <w:r>
        <w:tab/>
      </w:r>
      <w:r>
        <w:rPr>
          <w:u w:val="single"/>
        </w:rPr>
        <w:t xml:space="preserve">$11,225</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$519,974</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$9,076,000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$54,778,000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Appropriation for cannabis excise</w:t>
      </w:r>
    </w:p>
    <w:p>
      <w:pPr>
        <w:spacing w:before="0" w:after="0" w:line="408" w:lineRule="exact"/>
        <w:ind w:left="0" w:right="0" w:firstLine="0"/>
        <w:jc w:val="left"/>
        <w:tabs>
          <w:tab w:val="right" w:leader="dot" w:pos="9936"/>
        </w:tabs>
      </w:pPr>
      <w:r>
        <w:rPr>
          <w:u w:val="single"/>
        </w:rPr>
        <w:t xml:space="preserve">tax and license distribution</w:t>
      </w:r>
      <w:r>
        <w:tab/>
      </w:r>
      <w:r>
        <w:rPr>
          <w:u w:val="single"/>
        </w:rPr>
        <w:t xml:space="preserve">$6,655,000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$73,693,000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$21,487,000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$24,585,000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$477,587,000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$2,300,000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$24,436,000</w:t>
      </w:r>
      <w:r>
        <w:tab/>
      </w:r>
    </w:p>
    <w:p>
      <w:pPr>
        <w:spacing w:before="0" w:after="0" w:line="408" w:lineRule="exact"/>
        <w:ind w:left="0" w:right="0" w:firstLine="576"/>
        <w:jc w:val="left"/>
        <w:tabs>
          <w:tab w:val="right" w:leader="none" w:pos="9936"/>
        </w:tabs>
      </w:pPr>
      <w:r>
        <w:rPr/>
        <w:t xml:space="preserve">for fiscal year 2014 and $24,984,000</w:t>
      </w:r>
      <w:r>
        <w:tab/>
      </w:r>
    </w:p>
    <w:p>
      <w:pPr>
        <w:spacing w:before="0" w:after="0" w:line="408" w:lineRule="exact"/>
        <w:ind w:left="0" w:right="0" w:firstLine="576"/>
        <w:jc w:val="left"/>
        <w:tabs>
          <w:tab w:val="right" w:leader="dot" w:pos="9936"/>
        </w:tabs>
      </w:pPr>
      <w:r>
        <w:rPr/>
        <w:t xml:space="preserve">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$992,000</w:t>
      </w:r>
      <w:r>
        <w:tab/>
      </w:r>
    </w:p>
    <w:p>
      <w:pPr>
        <w:spacing w:before="0" w:after="0" w:line="408" w:lineRule="exact"/>
        <w:ind w:left="0" w:right="0" w:firstLine="576"/>
        <w:jc w:val="left"/>
        <w:tabs>
          <w:tab w:val="right" w:leader="dot" w:pos="9936"/>
        </w:tabs>
      </w:pPr>
      <w:r>
        <w:rPr/>
        <w:t xml:space="preserve">for fiscal year 2015</w:t>
      </w:r>
      <w:r>
        <w:tab/>
      </w:r>
      <w:r>
        <w:rPr/>
        <w:t xml:space="preserve">$2,648,000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576"/>
        <w:jc w:val="left"/>
      </w:pPr>
      <w:r>
        <w:rPr>
          <w:u w:val="single"/>
        </w:rPr>
        <w:t xml:space="preserve">(3) The life sciences discovery fund authority board of trustees shall terminate all funding for contracts by June 30, 2015.</w:t>
      </w:r>
    </w:p>
    <w:p>
      <w:pPr>
        <w:spacing w:before="12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and $4,070,000 for fiscal year 2015</w:t>
      </w:r>
      <w:r>
        <w:tab/>
      </w:r>
      <w:r>
        <w:rPr/>
        <w:t xml:space="preserve">$8,139,000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education legacy trust account, $29,473,000 for</w:t>
      </w:r>
    </w:p>
    <w:p>
      <w:pPr>
        <w:spacing w:before="0" w:after="0" w:line="408" w:lineRule="exact"/>
        <w:ind w:left="0" w:right="0" w:firstLine="0"/>
        <w:jc w:val="left"/>
        <w:tabs>
          <w:tab w:val="right" w:leader="dot" w:pos="9936"/>
        </w:tabs>
      </w:pPr>
      <w:r>
        <w:rPr>
          <w:u w:val="single"/>
        </w:rPr>
        <w:t xml:space="preserve">fiscal year 2015</w:t>
      </w:r>
      <w:r>
        <w:tab/>
      </w:r>
      <w:r>
        <w:rPr>
          <w:u w:val="single"/>
        </w:rPr>
        <w:t xml:space="preserve">$29,473,000</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r>
        <w:rPr>
          <w:u w:val="single"/>
        </w:rPr>
        <w:t xml:space="preserve">general fund, $6,000,000 for fiscal year 2015</w:t>
      </w:r>
      <w:r>
        <w:tab/>
      </w:r>
      <w:r>
        <w:rPr>
          <w:u w:val="single"/>
        </w:rPr>
        <w:t xml:space="preserve">$6,000,000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0" w:after="0" w:line="408" w:lineRule="exact"/>
        <w:ind w:left="0" w:right="0" w:firstLine="576"/>
        <w:jc w:val="left"/>
      </w:pPr>
      <w:r>
        <w:rPr>
          <w:u w:val="single"/>
        </w:rPr>
        <w:t xml:space="preserve">(6) During the 2013-2015 fiscal biennium the legislature may redistribute to the education legacy trust account any of the distributions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958 (RCW 77.12.203) of this act, which takes effect July 1, 2015.</w:t>
      </w:r>
    </w:p>
    <w:p/>
    <w:p>
      <w:pPr>
        <w:jc w:val="center"/>
      </w:pPr>
      <w:r>
        <w:rPr>
          <w:b/>
        </w:rPr>
        <w:t>--- END ---</w:t>
      </w:r>
    </w:p>
    <w:sectPr>
      <w:pgNumType w:start="1"/>
      <w:footerReference xmlns:r="http://schemas.openxmlformats.org/officeDocument/2006/relationships" r:id="Rd7e9901cd9ed4b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7dcf455f54cf7" /><Relationship Type="http://schemas.openxmlformats.org/officeDocument/2006/relationships/footer" Target="/word/footer.xml" Id="Rd7e9901cd9ed4bab" /></Relationships>
</file>