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1efd59cba1470e" /></Relationships>
</file>

<file path=word/document.xml><?xml version="1.0" encoding="utf-8"?>
<w:document xmlns:w="http://schemas.openxmlformats.org/wordprocessingml/2006/main">
  <w:body>
    <w:p>
      <w:r>
        <w:t>Z-0425.1</w:t>
      </w:r>
    </w:p>
    <w:p>
      <w:pPr>
        <w:jc w:val="center"/>
      </w:pPr>
      <w:r>
        <w:t>_______________________________________________</w:t>
      </w:r>
    </w:p>
    <w:p/>
    <w:p>
      <w:pPr>
        <w:jc w:val="center"/>
      </w:pPr>
      <w:r>
        <w:rPr>
          <w:b/>
        </w:rPr>
        <w:t>SENATE BILL 5076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and Hargrove; by request of Governor Inslee</w:t>
      </w:r>
    </w:p>
    <w:p/>
    <w:p>
      <w:r>
        <w:rPr>
          <w:t xml:space="preserve">Read first time 01/13/15.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2014 c 221 ss 101, 102, 105, 107, 108, 109, 110, 111, 112, 113, 114, 115, 116, 117, 118, 119, 120, 122, 125, 126, 127, 129, 130, 134, 135, 136, 140, 141, 142, 143, 146, 148, 201, 202, 203, 204, 205, 206, 207, 208, 209, 210, 211, 212, 213, 214, 216, 217, 218, 219, 220, 221, 222, 301, 302, 303, 304, 305, 306, 307, 308, 309, 310, 311, 401, 402, 501, 502, 503, 504, 505, 506, 507, 508, 509, 511, 512, 513, 514, 515, 604, 605, 606, 607, 608, 609, 610, 611, 612, 614, 615, 616, 617, 619, 701, 704, 706, 708, 709, 710, 711, 801, 802, 803, and 805 (uncodified); amending 2013 2nd sp.s. c 4 ss 109, 705, 712, and 718 (uncodified); adding a new section to 2013 2nd sp.s. c 4 (uncodified); repealing 2014 c 221 s 707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109</w:t>
      </w:r>
      <w:r>
        <w:rPr/>
        <w:t xml:space="preserve"> (uncodified) is amended to read as follows:</w:t>
      </w:r>
    </w:p>
    <w:p>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$1,465,000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$15,840,000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$37,705,000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$36,065,000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$12,105,000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$9,653,000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$66,079,000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$15,226,000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$209,602,000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$244,309,000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$7,350,000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$63,266,000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$73,011,000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142</w:t>
      </w:r>
      <w:r>
        <w:rPr/>
        <w:t xml:space="preserve"> (uncodified) is amended to read as follows:</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$140,024,000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$58,392,000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$20,223,000</w:t>
      </w:r>
      <w:r>
        <w:t>))</w:t>
      </w:r>
    </w:p>
    <w:p>
      <w:pPr>
        <w:spacing w:before="0" w:after="0" w:line="408" w:lineRule="exact"/>
        <w:ind w:left="0" w:right="0" w:firstLine="0"/>
        <w:jc w:val="left"/>
        <w:tabs>
          <w:tab w:val="right" w:leader="none" w:pos="9936"/>
        </w:tabs>
      </w:pPr>
      <w:r>
        <w:tab/>
      </w:r>
      <w:r>
        <w:rPr>
          <w:u w:val="single"/>
        </w:rPr>
        <w:t xml:space="preserve">$47,311,000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$69,625,000</w:t>
      </w:r>
      <w:r>
        <w:t>))</w:t>
      </w:r>
    </w:p>
    <w:p>
      <w:pPr>
        <w:spacing w:before="0" w:after="0" w:line="408" w:lineRule="exact"/>
        <w:ind w:left="0" w:right="0" w:firstLine="0"/>
        <w:jc w:val="left"/>
        <w:tabs>
          <w:tab w:val="right" w:leader="none" w:pos="9936"/>
        </w:tabs>
      </w:pPr>
      <w:r>
        <w:tab/>
      </w:r>
      <w:r>
        <w:rPr>
          <w:u w:val="single"/>
        </w:rPr>
        <w:t xml:space="preserve">$129,389,000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$3,180,000</w:t>
      </w:r>
    </w:p>
    <w:p>
      <w:pPr>
        <w:tabs>
          <w:tab w:val="right" w:leader="dot" w:pos="9936"/>
        </w:tabs>
        <w:ind w:left="0" w:right="0" w:firstLine="1440"/>
      </w:pPr>
      <w:r>
        <w:rPr/>
        <w:t xml:space="preserve">TOTAL APPROPRIATION</w:t>
      </w:r>
      <w:r>
        <w:tab/>
      </w:r>
      <w:r>
        <w:rPr>
          <w:strike/>
        </w:rPr>
        <w:t xml:space="preserve">$295,532,000</w:t>
      </w:r>
    </w:p>
    <w:p>
      <w:pPr>
        <w:tabs>
          <w:tab w:val="right" w:leader="none" w:pos="9936"/>
        </w:tabs>
        <w:ind w:left="0" w:right="0" w:firstLine="1440"/>
      </w:pPr>
      <w:r>
        <w:tab/>
      </w:r>
      <w:r>
        <w:rPr>
          <w:u w:val="single"/>
        </w:rPr>
        <w:t xml:space="preserve">$382,384,000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$20,223,000</w:t>
      </w:r>
      <w:r>
        <w:t>))</w:t>
      </w:r>
      <w:r>
        <w:rPr>
          <w:u w:val="single"/>
        </w:rPr>
        <w:t xml:space="preserve">$47,311,000</w:t>
      </w:r>
      <w:r>
        <w:rPr/>
        <w:t xml:space="preserve"> of the disaster response account</w:t>
      </w:r>
      <w:r>
        <w:rPr>
          <w:rFonts w:ascii="Times New Roman" w:hAnsi="Times New Roman"/>
        </w:rPr>
        <w:t xml:space="preserve">—</w:t>
      </w:r>
      <w:r>
        <w:rPr/>
        <w:t xml:space="preserve">state appropriation and </w:t>
      </w:r>
      <w:r>
        <w:t>((</w:t>
      </w:r>
      <w:r>
        <w:rPr>
          <w:strike/>
        </w:rPr>
        <w:t xml:space="preserve">$69,625,000</w:t>
      </w:r>
      <w:r>
        <w:t>))</w:t>
      </w:r>
      <w:r>
        <w:rPr>
          <w:u w:val="single"/>
        </w:rPr>
        <w:t xml:space="preserve">$129,389,000</w:t>
      </w:r>
      <w:r>
        <w:rPr/>
        <w:t xml:space="preserve"> of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2014-2015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w:t>
      </w:r>
    </w:p>
    <w:p>
      <w:pPr>
        <w:spacing w:before="0" w:after="0" w:line="408" w:lineRule="exact"/>
        <w:ind w:left="0" w:right="0" w:firstLine="576"/>
        <w:jc w:val="left"/>
      </w:pPr>
      <w:r>
        <w:rPr/>
        <w:t xml:space="preserve">(a) Any communications equipment purchased by local jurisdictions or state agencies shall be consistent with standards set by the Washington state interoperability executive committee; and</w:t>
      </w:r>
    </w:p>
    <w:p>
      <w:pPr>
        <w:spacing w:before="0" w:after="0" w:line="408" w:lineRule="exact"/>
        <w:ind w:left="0" w:right="0" w:firstLine="576"/>
        <w:jc w:val="left"/>
      </w:pPr>
      <w:r>
        <w:rPr/>
        <w:t xml:space="preserve">(b) The department shall submit an annual report to the office of financial management and the legislative fiscal committees detailing the governor's domestic security advisory group recommendations; homeland security revenues and expenditures, including estimates of total federal funding for the state; and incremental changes from the previous estimate.</w:t>
      </w:r>
    </w:p>
    <w:p>
      <w:pPr>
        <w:spacing w:before="0" w:after="0" w:line="408" w:lineRule="exact"/>
        <w:ind w:left="0" w:right="0" w:firstLine="576"/>
        <w:jc w:val="left"/>
      </w:pPr>
      <w:r>
        <w:rPr/>
        <w:t xml:space="preserve">(3) $388,000 of the worker and community right-to-know account</w:t>
      </w:r>
      <w:r>
        <w:rPr>
          <w:rFonts w:ascii="Times New Roman" w:hAnsi="Times New Roman"/>
        </w:rPr>
        <w:t xml:space="preserve">—</w:t>
      </w:r>
      <w:r>
        <w:rPr/>
        <w:t xml:space="preserve">state appropriation is provided solely for the department's equipment replacement plan. Prior to using appropriated funds for the purchase of server or other related equipment, the department shall create a plan, in consultation with consolidated technology services and the office of the chief information officer, to migrate the department's existing data center to the state data center located in the 1500 Jefferson building and use services provided by consolidated technology services instead of purchasing new servers or other related equipment. If the department has specific service or performance requirements for locating servers outside the state data center, the agency will submit a waiver request to the office of the chief information officer as required in RCW 43.41A.150.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$5,843,000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$21,890,000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$3,286,000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$317,930,000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$495,636,000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$1,126,550,000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spacing w:before="0" w:after="0" w:line="408" w:lineRule="exact"/>
        <w:ind w:left="0" w:right="0" w:firstLine="576"/>
        <w:jc w:val="left"/>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$186,436,000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$331,212,000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$797,107,000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$1,474,710,000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$138,783,000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$56,686,000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$492,437,000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$477,810,000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$843,835,000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$1,766,550,000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$84,894,000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$161,511,000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$355,451,000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$13,263,000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$13,256,000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$28,494,000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u w:val="single"/>
        </w:rPr>
        <w:t xml:space="preserve">(c) $10,973,000 of the general fund</w:t>
      </w:r>
      <w:r>
        <w:rPr>
          <w:rFonts w:ascii="Times New Roman" w:hAnsi="Times New Roman"/>
          <w:u w:val="single"/>
        </w:rPr>
        <w:t xml:space="preserve">—</w:t>
      </w:r>
      <w:r>
        <w:rPr>
          <w:u w:val="single"/>
        </w:rPr>
        <w:t xml:space="preserve">state appropriation for fiscal year 2015 and $10,973,000 of the general fund</w:t>
      </w:r>
      <w:r>
        <w:rPr>
          <w:rFonts w:ascii="Times New Roman" w:hAnsi="Times New Roman"/>
          <w:u w:val="single"/>
        </w:rPr>
        <w:t xml:space="preserve">—</w:t>
      </w:r>
      <w:r>
        <w:rPr>
          <w:u w:val="single"/>
        </w:rPr>
        <w:t xml:space="preserve">federal appropriation for fiscal year 2015 are provided solely to fully satisfy the First Amended Supplemental Judgment and Order and Second Amended Final Judgment on Jury Verdict issued by the Thurston County Superior Court on September 5, 2014, in the case of </w:t>
      </w:r>
      <w:r>
        <w:rPr>
          <w:i/>
          <w:u w:val="single"/>
        </w:rPr>
        <w:t xml:space="preserve">Rekhter v. DSHS</w:t>
      </w:r>
      <w:r>
        <w:rPr>
          <w:u w:val="single"/>
        </w:rPr>
        <w:t xml:space="preserve">, Cause No. 07-2-00895-8.</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$934,414,000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$1,913,609,000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$3,855,765,000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0" w:after="0" w:line="408" w:lineRule="exact"/>
        <w:ind w:left="0" w:right="0" w:firstLine="576"/>
        <w:jc w:val="left"/>
      </w:pPr>
      <w:r>
        <w:rPr>
          <w:u w:val="single"/>
        </w:rPr>
        <w:t xml:space="preserve">(23) $32,919,000 of the general fund</w:t>
      </w:r>
      <w:r>
        <w:rPr>
          <w:rFonts w:ascii="Times New Roman" w:hAnsi="Times New Roman"/>
          <w:u w:val="single"/>
        </w:rPr>
        <w:t xml:space="preserve">—</w:t>
      </w:r>
      <w:r>
        <w:rPr>
          <w:u w:val="single"/>
        </w:rPr>
        <w:t xml:space="preserve">state appropriation for fiscal year 2015 and $32,918,000 of the general fund</w:t>
      </w:r>
      <w:r>
        <w:rPr>
          <w:rFonts w:ascii="Times New Roman" w:hAnsi="Times New Roman"/>
          <w:u w:val="single"/>
        </w:rPr>
        <w:t xml:space="preserve">—</w:t>
      </w:r>
      <w:r>
        <w:rPr>
          <w:u w:val="single"/>
        </w:rPr>
        <w:t xml:space="preserve">federal appropriation for fiscal year 2015 are provided solely to fully satisfy the First Amended Supplemental Judgment and Order and Second Amended Final Judgment on Jury Verdict issued by the Thurston County Superior Court on September 5, 2014, in the case of </w:t>
      </w:r>
      <w:r>
        <w:rPr>
          <w:i/>
          <w:u w:val="single"/>
        </w:rPr>
        <w:t xml:space="preserve">Rekhter v. DSHS</w:t>
      </w:r>
      <w:r>
        <w:rPr>
          <w:u w:val="single"/>
        </w:rPr>
        <w:t xml:space="preserve">, Cause No. 07-2-00895-8.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$378,899,000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$1,286,387,000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$22,094,000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$2,064,118,000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u w:val="single"/>
        </w:rPr>
        <w:t xml:space="preserve">$146,135,000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u w:val="single"/>
        </w:rPr>
        <w:t xml:space="preserve">$778,165,000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u w:val="single"/>
        </w:rPr>
        <w:t xml:space="preserve">$360,278,000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u w:val="single"/>
        </w:rPr>
        <w:t xml:space="preserve">$369,470,000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u w:val="single"/>
        </w:rPr>
        <w:t xml:space="preserve">$172,973,000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$68,250,000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$290,234,000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$4,961,000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$469,023,000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$126,949,000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$36,530,000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$66,637,000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$56,742,000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$186,201,000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$2,085,432,000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$8,929,479,000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$51,713,000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$611,873,000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$19,867,000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$1,479,000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$13,918,226,000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w:t>
      </w:r>
      <w:r>
        <w:t>))</w:t>
      </w:r>
      <w:r>
        <w:rPr>
          <w:u w:val="single"/>
        </w:rPr>
        <w:t xml:space="preserve">$3,183,191,000</w:t>
      </w:r>
      <w:r>
        <w:rPr/>
        <w:t xml:space="preserve"> of the general fund</w:t>
      </w:r>
      <w:r>
        <w:rPr>
          <w:rFonts w:ascii="Times New Roman" w:hAnsi="Times New Roman"/>
        </w:rPr>
        <w:t xml:space="preserve">—</w:t>
      </w:r>
      <w:r>
        <w:rPr/>
        <w:t xml:space="preserve">federal appropriation is provided solely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u w:val="single"/>
        </w:rPr>
        <w:t xml:space="preserve">$25,217,000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w:t>
      </w:r>
      <w:r>
        <w:t>((</w:t>
      </w:r>
      <w:r>
        <w:rPr>
          <w:strike/>
        </w:rPr>
        <w:t xml:space="preserve">If neither of the bills is enacted by June 30, 2013, the amounts provided in this subsection shall lapse.</w:t>
      </w:r>
      <w:r>
        <w:t>))</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 (25) $1,163,000 of the medicaid fraud penalty account</w:t>
      </w:r>
      <w:r>
        <w:rPr>
          <w:rFonts w:ascii="Times New Roman" w:hAnsi="Times New Roman"/>
        </w:rPr>
        <w:t xml:space="preserve">—</w:t>
      </w:r>
      <w:r>
        <w:rPr/>
        <w:t xml:space="preserve">state appropriation and $9,710,000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u w:val="single"/>
        </w:rPr>
        <w:t xml:space="preserve">$19,867,000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u w:val="single"/>
        </w:rPr>
        <w:t xml:space="preserve">$9,925,000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w:t>
      </w:r>
      <w:r>
        <w:t>((</w:t>
      </w:r>
      <w:r>
        <w:rPr>
          <w:strike/>
        </w:rPr>
        <w:t xml:space="preserve">If Second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w:t>
      </w:r>
      <w:r>
        <w:t>((</w:t>
      </w:r>
      <w:r>
        <w:rPr>
          <w:strike/>
        </w:rPr>
        <w:t xml:space="preserve">If the bill is not enacted by June 30, 2014, the amounts provided in this subsection shall lapse.</w:t>
      </w:r>
      <w:r>
        <w:t>))</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$16,540,000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$5,079,000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$45,369,000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$2,957,000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$958,037,000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w:t>
      </w:r>
      <w:r>
        <w:t>((</w:t>
      </w:r>
      <w:r>
        <w:rPr>
          <w:strike/>
        </w:rPr>
        <w:t xml:space="preserve">2014</w:t>
      </w:r>
      <w:r>
        <w:t>))</w:t>
      </w:r>
      <w:r>
        <w:rPr>
          <w:u w:val="single"/>
        </w:rPr>
        <w:t xml:space="preserve">2015</w:t>
      </w:r>
      <w:r>
        <w:rPr/>
        <w:t xml:space="preserve">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$54,032,000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$111,611,000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$603,852,000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$1,208,952,000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 (f)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$160,025,000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$313,660,000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$37,722,000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$79,389,000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$23,585,000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$3,809,000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$3,839,000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$19,543,000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0" w:after="0" w:line="408" w:lineRule="exact"/>
        <w:ind w:left="0" w:right="0" w:firstLine="576"/>
        <w:jc w:val="left"/>
      </w:pPr>
      <w:r>
        <w:rPr>
          <w:u w:val="single"/>
        </w:rPr>
        <w:t xml:space="preserve">(7) $1,165,000 of the general fund</w:t>
      </w:r>
      <w:r>
        <w:rPr>
          <w:rFonts w:ascii="Times New Roman" w:hAnsi="Times New Roman"/>
          <w:u w:val="single"/>
        </w:rPr>
        <w:t xml:space="preserve">—</w:t>
      </w:r>
      <w:r>
        <w:rPr>
          <w:u w:val="single"/>
        </w:rPr>
        <w:t xml:space="preserve">state appropriation for fiscal year 2015 and $1,538,000 of the general fund</w:t>
      </w:r>
      <w:r>
        <w:rPr>
          <w:rFonts w:ascii="Times New Roman" w:hAnsi="Times New Roman"/>
          <w:u w:val="single"/>
        </w:rPr>
        <w:t xml:space="preserve">—</w:t>
      </w:r>
      <w:r>
        <w:rPr>
          <w:u w:val="single"/>
        </w:rPr>
        <w:t xml:space="preserve">federal appropriation are provided solely to protect water quality, prevent crop damage, and help landowners recover from losses sustained during the Carlton Complex 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$16,043,000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$2,603,000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$103,723,000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$377,688,000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w:t>
      </w:r>
      <w:r>
        <w:t>((</w:t>
      </w:r>
      <w:r>
        <w:rPr>
          <w:strike/>
        </w:rPr>
        <w:t xml:space="preserve">$130,000</w:t>
      </w:r>
      <w:r>
        <w:t>))</w:t>
      </w:r>
      <w:r>
        <w:rPr>
          <w:u w:val="single"/>
        </w:rPr>
        <w:t xml:space="preserve">$901,000</w:t>
      </w:r>
      <w:r>
        <w:rPr/>
        <w:t xml:space="preserve">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$114,650,000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$26,937,000</w:t>
      </w:r>
      <w:r>
        <w:t>))</w:t>
      </w:r>
    </w:p>
    <w:p>
      <w:pPr>
        <w:spacing w:before="0" w:after="0" w:line="408" w:lineRule="exact"/>
        <w:ind w:left="0" w:right="0" w:firstLine="0"/>
        <w:jc w:val="left"/>
        <w:tabs>
          <w:tab w:val="right" w:leader="none" w:pos="9936"/>
        </w:tabs>
      </w:pPr>
      <w:r>
        <w:tab/>
      </w:r>
      <w:r>
        <w:rPr>
          <w:u w:val="single"/>
        </w:rPr>
        <w:t xml:space="preserve">$28,421,000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$407,578,000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w:t>
      </w:r>
      <w:r>
        <w:t>((</w:t>
      </w:r>
      <w:r>
        <w:rPr>
          <w:strike/>
        </w:rPr>
        <w:t xml:space="preserve">$19,099,000</w:t>
      </w:r>
      <w:r>
        <w:t>))</w:t>
      </w:r>
      <w:r>
        <w:rPr>
          <w:u w:val="single"/>
        </w:rPr>
        <w:t xml:space="preserve">$89,099,000</w:t>
      </w:r>
      <w:r>
        <w:rPr/>
        <w:t xml:space="preserve">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t>((</w:t>
      </w:r>
      <w:r>
        <w:rPr>
          <w:strike/>
        </w:rPr>
        <w:t xml:space="preserve">Wildlife Account</w:t>
      </w:r>
      <w:r>
        <w:rPr>
          <w:rFonts w:ascii="Times New Roman" w:hAnsi="Times New Roman"/>
          <w:strike/>
        </w:rPr>
        <w:t xml:space="preserve">—</w:t>
      </w:r>
      <w:r>
        <w:rPr>
          <w:strike/>
        </w:rPr>
        <w:t xml:space="preserve">State Appropriation</w:t>
      </w:r>
      <w:r>
        <w:tab/>
      </w:r>
      <w:r>
        <w:rPr>
          <w:strike/>
        </w:rPr>
        <w:t xml:space="preserve">$32,000</w:t>
      </w:r>
      <w:r>
        <w:t>))</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$22,298,000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$149,690,000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u w:val="single"/>
        </w:rPr>
        <w:t xml:space="preserve">$22,298,000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w:t>
      </w:r>
      <w:r>
        <w:t>((</w:t>
      </w:r>
      <w:r>
        <w:rPr>
          <w:strike/>
        </w:rPr>
        <w:t xml:space="preserve">$3,480,000 of the enhanced 911 account</w:t>
      </w:r>
      <w:r>
        <w:rPr>
          <w:rFonts w:ascii="Times New Roman" w:hAnsi="Times New Roman"/>
          <w:strike/>
        </w:rPr>
        <w:t xml:space="preserve">—</w:t>
      </w:r>
      <w:r>
        <w:rPr>
          <w:strike/>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strike/>
        </w:rPr>
        <w:t xml:space="preserve">(5)</w:t>
      </w:r>
      <w:r>
        <w:t>))</w:t>
      </w:r>
      <w:r>
        <w:rPr/>
        <w:t xml:space="preserve">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$4,003,000</w:t>
      </w:r>
      <w:r>
        <w:t>))</w:t>
      </w:r>
    </w:p>
    <w:p>
      <w:pPr>
        <w:spacing w:before="0" w:after="0" w:line="408" w:lineRule="exact"/>
        <w:ind w:left="0" w:right="0" w:firstLine="0"/>
        <w:jc w:val="left"/>
        <w:tabs>
          <w:tab w:val="right" w:leader="none" w:pos="9936"/>
        </w:tabs>
      </w:pPr>
      <w:r>
        <w:tab/>
      </w:r>
      <w:r>
        <w:rPr>
          <w:u w:val="single"/>
        </w:rPr>
        <w:t xml:space="preserve">$5,103,000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$89,000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$130,469,000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$5,617,440,000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$11,385,823,000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$429,479,000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$794,527,000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$739,209,000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$1,955,376,000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$8,123,000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$344,409,000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$656,291,000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$13,804,000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u w:val="single"/>
        </w:rPr>
        <w:t xml:space="preserve">$786,000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$9,845,000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 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$110,308,000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$280,220,000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$218,134,000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$863,396,000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$554,000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$34,000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$583,642,000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$95,197,000</w:t>
      </w:r>
      <w:r>
        <w:t>))</w:t>
      </w:r>
    </w:p>
    <w:p>
      <w:pPr>
        <w:spacing w:before="0" w:after="0" w:line="408" w:lineRule="exact"/>
        <w:ind w:left="0" w:right="0" w:firstLine="0"/>
        <w:jc w:val="left"/>
        <w:tabs>
          <w:tab w:val="right" w:leader="none" w:pos="9936"/>
        </w:tabs>
      </w:pPr>
      <w:r>
        <w:tab/>
      </w:r>
      <w:r>
        <w:rPr>
          <w:u w:val="single"/>
        </w:rPr>
        <w:t xml:space="preserve">$72,697,000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$1,243,566,000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$192,000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$118,000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$79,560,000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$52,285,000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$297,905,000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$4,301,000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$958,735,000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$2,034,636,000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705</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$18,298,000</w:t>
      </w:r>
    </w:p>
    <w:p>
      <w:pPr>
        <w:tabs>
          <w:tab w:val="right" w:leader="dot" w:pos="9936"/>
        </w:tabs>
        <w:ind w:left="0" w:right="0" w:firstLine="1440"/>
      </w:pPr>
      <w:r>
        <w:rPr/>
        <w:t xml:space="preserve">TOTAL APPROPRIATION</w:t>
      </w:r>
      <w:r>
        <w:tab/>
      </w:r>
      <w:r>
        <w:rPr>
          <w:strike/>
        </w:rPr>
        <w:t xml:space="preserve">$8,000,000</w:t>
      </w:r>
    </w:p>
    <w:p>
      <w:pPr>
        <w:spacing w:before="0" w:after="0" w:line="408" w:lineRule="exact"/>
        <w:ind w:left="0" w:right="0" w:firstLine="0"/>
        <w:jc w:val="left"/>
        <w:tabs>
          <w:tab w:val="right" w:leader="none" w:pos="9936"/>
        </w:tabs>
      </w:pPr>
      <w:r>
        <w:tab/>
      </w:r>
      <w:r>
        <w:rPr>
          <w:u w:val="single"/>
        </w:rPr>
        <w:t xml:space="preserve">$22,298,000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disaster response account to be used for any Washington state fire service resource mobilization costs incurred by the Washington state patrol in response to an emergency or disaster authorized under RCW 43.43.960 and 43.43.964.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t xml:space="preserve">$120,300,000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u w:val="single"/>
        </w:rPr>
        <w:t xml:space="preserve">(FY 2015)</w:t>
      </w:r>
      <w:r>
        <w:tab/>
      </w:r>
      <w:r>
        <w:rPr/>
        <w:t xml:space="preserve">$590,000</w:t>
      </w:r>
    </w:p>
    <w:p>
      <w:pPr>
        <w:spacing w:before="120" w:after="0" w:line="408" w:lineRule="exact"/>
        <w:ind w:left="0" w:right="0" w:firstLine="576"/>
        <w:jc w:val="left"/>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$11,065</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$519,974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u w:val="single"/>
        </w:rPr>
        <w:t xml:space="preserve">2014</w:t>
      </w:r>
      <w:r>
        <w:rPr/>
        <w:t xml:space="preserve">,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2nd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DISASTER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 </w:t>
      </w:r>
      <w:r>
        <w:tab/>
      </w:r>
      <w:r>
        <w:rPr/>
        <w:t xml:space="preserve">$13,000,000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disaster response account for emergency fire suppression costs incurred by the military department.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$9,076,000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$55,002,000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$3,154,000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Appropriation for cannabis excise</w:t>
      </w:r>
    </w:p>
    <w:p>
      <w:pPr>
        <w:spacing w:before="0" w:after="0" w:line="408" w:lineRule="exact"/>
        <w:ind w:left="0" w:right="0" w:firstLine="0"/>
        <w:jc w:val="left"/>
        <w:tabs>
          <w:tab w:val="right" w:leader="dot" w:pos="9936"/>
        </w:tabs>
      </w:pPr>
      <w:pPr>
        <w:tabs>
          <w:tab w:val="right" w:leader="dot" w:pos="9360"/>
        </w:tabs>
      </w:pPr>
      <w:r>
        <w:rPr>
          <w:u w:val="single"/>
        </w:rPr>
        <w:t xml:space="preserve">tax and license distribution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ten percent of the transfer from the dedicated</w:t>
      </w:r>
    </w:p>
    <w:p>
      <w:pPr>
        <w:spacing w:before="0" w:after="0" w:line="408" w:lineRule="exact"/>
        <w:ind w:left="0" w:right="0" w:firstLine="0"/>
        <w:jc w:val="left"/>
        <w:tabs>
          <w:tab w:val="right" w:leader="dot" w:pos="9936"/>
        </w:tabs>
      </w:pPr>
      <w:r>
        <w:rPr>
          <w:u w:val="single"/>
        </w:rPr>
        <w:t xml:space="preserve">marijuana account to the state general fund</w:t>
      </w:r>
      <w:r>
        <w:tab/>
      </w:r>
      <w:r>
        <w:rPr>
          <w:u w:val="single"/>
        </w:rPr>
        <w:t xml:space="preserve">$2,032,000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$76,113,000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$21,183,000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$24,200,000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$475,073,000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$2,465,000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$1,643,000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$24,436,000</w:t>
      </w:r>
      <w:r>
        <w:tab/>
      </w:r>
    </w:p>
    <w:p>
      <w:pPr>
        <w:spacing w:before="0" w:after="0" w:line="408" w:lineRule="exact"/>
        <w:ind w:left="0" w:right="0" w:firstLine="576"/>
        <w:jc w:val="left"/>
        <w:tabs>
          <w:tab w:val="right" w:leader="none" w:pos="9936"/>
        </w:tabs>
      </w:pPr>
      <w:r>
        <w:rPr/>
        <w:t xml:space="preserve">for fiscal year 2014 and $24,984,000</w:t>
      </w:r>
      <w:r>
        <w:tab/>
      </w:r>
    </w:p>
    <w:p>
      <w:pPr>
        <w:spacing w:before="0" w:after="0" w:line="408" w:lineRule="exact"/>
        <w:ind w:left="0" w:right="0" w:firstLine="576"/>
        <w:jc w:val="left"/>
        <w:tabs>
          <w:tab w:val="right" w:leader="dot" w:pos="9936"/>
        </w:tabs>
      </w:pPr>
      <w:r>
        <w:rPr/>
        <w:t xml:space="preserve">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w:t>
      </w:r>
      <w:r>
        <w:t>((</w:t>
      </w:r>
      <w:r>
        <w:rPr>
          <w:strike/>
        </w:rPr>
        <w:t xml:space="preserve">$1,838,000</w:t>
      </w:r>
      <w:r>
        <w:t>))</w:t>
      </w:r>
      <w:r>
        <w:rPr>
          <w:u w:val="single"/>
        </w:rPr>
        <w:t xml:space="preserve">$2,838,000</w:t>
      </w:r>
      <w:r>
        <w:rPr/>
        <w:t xml:space="preserve"> for fiscal</w:t>
      </w:r>
      <w:r>
        <w:tab/>
      </w:r>
    </w:p>
    <w:p>
      <w:pPr>
        <w:spacing w:before="0" w:after="0" w:line="408" w:lineRule="exact"/>
        <w:ind w:left="0" w:right="0" w:firstLine="576"/>
        <w:jc w:val="left"/>
        <w:tabs>
          <w:tab w:val="right" w:leader="none" w:pos="9936"/>
        </w:tabs>
      </w:pPr>
      <w:r>
        <w:rPr/>
        <w:t xml:space="preserve">year 2014 and </w:t>
      </w:r>
      <w:r>
        <w:t>((</w:t>
      </w:r>
      <w:r>
        <w:rPr>
          <w:strike/>
        </w:rPr>
        <w:t xml:space="preserve">$1,800,000</w:t>
      </w:r>
      <w:r>
        <w:t>))</w:t>
      </w:r>
      <w:r>
        <w:rPr>
          <w:u w:val="single"/>
        </w:rPr>
        <w:t xml:space="preserve">$2,800,000</w:t>
      </w:r>
      <w:r>
        <w:rPr/>
        <w:t xml:space="preserve">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3c573b4faf444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36bb5209b4a6d" /><Relationship Type="http://schemas.openxmlformats.org/officeDocument/2006/relationships/footer" Target="/word/footer.xml" Id="R23c573b4faf44464" /></Relationships>
</file>