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f91a5972cc4a2a" /></Relationships>
</file>

<file path=word/document.xml><?xml version="1.0" encoding="utf-8"?>
<w:document xmlns:w="http://schemas.openxmlformats.org/wordprocessingml/2006/main">
  <w:body>
    <w:p>
      <w:r>
        <w:t>S-0296.1</w:t>
      </w:r>
    </w:p>
    <w:p>
      <w:pPr>
        <w:jc w:val="center"/>
      </w:pPr>
      <w:r>
        <w:t>_______________________________________________</w:t>
      </w:r>
    </w:p>
    <w:p/>
    <w:p>
      <w:pPr>
        <w:jc w:val="center"/>
      </w:pPr>
      <w:r>
        <w:rPr>
          <w:b/>
        </w:rPr>
        <w:t>SENATE BILL 5070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Pearson, Warnick, Dammeier, Kohl-Welles, and Brown</w:t>
      </w:r>
    </w:p>
    <w:p/>
    <w:p>
      <w:r>
        <w:rPr>
          <w:t xml:space="preserve">Read first time 01/13/15.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supervision of domestic violence offenders; and amending RCW 9.94A.501.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2013 2nd sp.s. c 35 s 15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w:t>
      </w:r>
      <w:r>
        <w:rPr>
          <w:u w:val="single"/>
        </w:rPr>
        <w:t xml:space="preserve">(i)</w:t>
      </w:r>
      <w:r>
        <w:rPr/>
        <w:t xml:space="preserve"> Has a current conviction for a domestic violence felony offense where domestic violence has been plead and proven after August 1, 2011, and a prior conviction for a repetitive domestic violence offense or domestic violence felony offense where domestic violence ((</w:t>
      </w:r>
      <w:r>
        <w:rPr>
          <w:strike/>
        </w:rPr>
        <w:t xml:space="preserve">has been</w:t>
      </w:r>
      <w:r>
        <w:rPr/>
        <w:t xml:space="preserve">)) </w:t>
      </w:r>
      <w:r>
        <w:rPr>
          <w:u w:val="single"/>
        </w:rPr>
        <w:t xml:space="preserve">was</w:t>
      </w:r>
      <w:r>
        <w:rPr/>
        <w:t xml:space="preserve"> plead and proven after August 1, 2011</w:t>
      </w:r>
      <w:r>
        <w:rPr>
          <w:u w:val="single"/>
        </w:rPr>
        <w:t xml:space="preserve">. This subsection (4)(e)(i) applies only to offenses committed prior to the effective date of this section;</w:t>
      </w:r>
    </w:p>
    <w:p>
      <w:pPr>
        <w:spacing w:before="0" w:after="0" w:line="408" w:lineRule="exact"/>
        <w:ind w:left="0" w:right="0" w:firstLine="576"/>
        <w:jc w:val="left"/>
      </w:pPr>
      <w:r>
        <w:rPr>
          <w:u w:val="single"/>
        </w:rPr>
        <w:t xml:space="preserve">(ii) Has a conviction for a domestic violence felony offense where domestic violence was plead and proven and that was committed after the effective date of this section. The state and its officers, agents, and employees shall not be held criminally or civilly liable for its supervision of an offender under this subsection (4)(e)(ii) unless the state and its officers, agents, and employees acted with reckless disregard</w:t>
      </w:r>
      <w:r>
        <w:rPr/>
        <w:t xml:space="preserve">;</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(6) The department shall conduct a risk assessment for every felony offender sentenced to a term of community custody who may be subject to supervision under this section or RCW 9.94A.5011.</w:t>
      </w:r>
    </w:p>
    <w:p/>
    <w:p>
      <w:pPr>
        <w:jc w:val="center"/>
      </w:pPr>
      <w:r>
        <w:rPr>
          <w:b/>
        </w:rPr>
        <w:t>--- END ---</w:t>
      </w:r>
    </w:p>
    <w:sectPr>
      <w:pgNumType w:start="1"/>
      <w:footerReference xmlns:r="http://schemas.openxmlformats.org/officeDocument/2006/relationships" r:id="Rc412b34167f847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0ced94927f449b" /><Relationship Type="http://schemas.openxmlformats.org/officeDocument/2006/relationships/footer" Target="/word/footer.xml" Id="Rc412b34167f847de" /></Relationships>
</file>