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56949cb8240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5057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transport of hazardous materials; amending RCW 82.23B.010, 82.23B.020, 82.23B.030, 82.23B.040, 88.40.011, 90.56.010, 81.53.240, 38.52.070, 81.53.010, and 81.24.010; reenacting and amending RCW 88.46.010, 38.52.040, and 42.56.270; adding new sections to chapter 90.56 RCW; adding a new section to chapter 81.53 RCW; adding a new section to chapter 81.44 RCW; adding a new section to chapter 81.24 RCW; adding new sections to chapter 81.40 RCW; creating new sections; repealing RCW 81.40.010 and 81.40.035; repealing 2015 c ... s 19;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p>
    <w:p>
      <w:pPr>
        <w:spacing w:before="0" w:after="0" w:line="408" w:lineRule="exact"/>
        <w:ind w:left="0" w:right="0" w:firstLine="576"/>
        <w:jc w:val="left"/>
      </w:pPr>
      <w:r>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t xml:space="preserve">(b) Annual updates, beginning December 31, 2016, and ending December 31, 2021, as required under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The department must contract, if practicable, with eligible independent third parties to ensure completion by December 1, 2017, of at least fifty percent of the geographic response plans as needed in contingency plans required under RCW 90.56.210 and 88.46.060 for the state.</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spacing w:before="0" w:after="0" w:line="408" w:lineRule="exact"/>
        <w:ind w:left="0" w:right="0" w:firstLine="576"/>
        <w:jc w:val="left"/>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spacing w:before="0" w:after="0" w:line="408" w:lineRule="exact"/>
        <w:ind w:left="0" w:right="0" w:firstLine="576"/>
        <w:jc w:val="left"/>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spacing w:before="0" w:after="0" w:line="408" w:lineRule="exact"/>
        <w:ind w:left="0" w:right="0" w:firstLine="576"/>
        <w:jc w:val="left"/>
      </w:pPr>
      <w:r>
        <w:rPr/>
        <w:t xml:space="preserve">(a) The application review must include evaluation of equipment and resource requests, funding requirements, and coordination with existing equipment and resources in the area.</w:t>
      </w:r>
    </w:p>
    <w:p>
      <w:pPr>
        <w:spacing w:before="0" w:after="0" w:line="408" w:lineRule="exact"/>
        <w:ind w:left="0" w:right="0" w:firstLine="576"/>
        <w:jc w:val="left"/>
      </w:pPr>
      <w:r>
        <w:rPr/>
        <w:t xml:space="preserve">(b) Funding must be prioritized for applicants from areas where the need for firefighting and oil spill and hazardous materials response equipment is the greatest as determined in subsection (2) of this section.</w:t>
      </w:r>
    </w:p>
    <w:p>
      <w:pPr>
        <w:spacing w:before="0" w:after="0" w:line="408" w:lineRule="exact"/>
        <w:ind w:left="0" w:right="0" w:firstLine="576"/>
        <w:jc w:val="left"/>
      </w:pPr>
      <w:r>
        <w:rPr/>
        <w:t xml:space="preserve">(c) Grants must be coordinated to maximize currently existing equipment and resources that have been put in place by first responders and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spacing w:before="0" w:after="0" w:line="408" w:lineRule="exact"/>
        <w:ind w:left="0" w:right="0" w:firstLine="576"/>
        <w:jc w:val="left"/>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w:t>
      </w:r>
      <w:r>
        <w:rPr>
          <w:u w:val="single"/>
        </w:rPr>
        <w:t xml:space="preserve">"Bulk oil terminal" means a facility of any kind, other than a waterborne vessel, that is used for transferring crude oil from a tank car.</w:t>
      </w:r>
      <w:r>
        <w:rPr/>
        <w:t xml:space="preserve"> </w:t>
      </w:r>
      <w:r>
        <w:rPr>
          <w:u w:val="single"/>
        </w:rPr>
        <w:t xml:space="preserve">(3)</w:t>
      </w:r>
      <w:r>
        <w:rPr/>
        <w:t xml:space="preserve"> "Crude oil" means any naturally occurring liquid hydrocarbons at atmospheric temperature and pressure coming from the earth, including condensate and natural gasoline.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"Department" means the department of revenue.</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"Person" has the meaning provided in RCW 82.04.030.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 "Tank car" means a rail car, the body of which consists of a tank for transporting liquids.</w:t>
      </w:r>
      <w:r>
        <w:rPr/>
        <w:t xml:space="preserve"> </w:t>
      </w: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spacing w:before="0" w:after="0" w:line="408" w:lineRule="exact"/>
        <w:ind w:left="0" w:right="0" w:firstLine="576"/>
        <w:jc w:val="left"/>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spacing w:before="0" w:after="0" w:line="408" w:lineRule="exact"/>
        <w:ind w:left="0" w:right="0" w:firstLine="576"/>
        <w:jc w:val="left"/>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spacing w:before="0" w:after="0" w:line="408" w:lineRule="exact"/>
        <w:ind w:left="0" w:right="0" w:firstLine="576"/>
        <w:jc w:val="left"/>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spacing w:before="0" w:after="0" w:line="408" w:lineRule="exact"/>
        <w:ind w:left="0" w:right="0" w:firstLine="576"/>
        <w:jc w:val="left"/>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spacing w:before="0" w:after="0" w:line="408" w:lineRule="exact"/>
        <w:ind w:left="0" w:right="0" w:firstLine="576"/>
        <w:jc w:val="left"/>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and type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the advance notice system established in this section on a quarterly basis on the department's internet web site. The information published by the department must be aggregated on a statewide basis with respect to information reported under subsection (1) of this section and may include other information available to the department including, but not limited to, place of origin, modes of transport, route taken to the facility, number of railroad cars delivering crude oil, and number and volume of spills during transport and delivery. The department must ensure that information is aggregated to the extent that publication does not allow for identification of a facility.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the advance notice system established in this section may not disclose any such information that is not aggregated and that might result in the identification of a facility.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ecology and the utilities and transportation commission shall jointly hold a symposium on oil spill prevention and response activities for international transport of liquid bulk crude oil. The department of ecology and the utilities and transportation commission must invite representatives from affected tribes, local governments, the United States government, Canadian provinces, Canada, and other appropriate stakeholders. The symposium must at a minimum address:</w:t>
      </w:r>
    </w:p>
    <w:p>
      <w:pPr>
        <w:spacing w:before="0" w:after="0" w:line="408" w:lineRule="exact"/>
        <w:ind w:left="0" w:right="0" w:firstLine="576"/>
        <w:jc w:val="left"/>
      </w:pPr>
      <w:r>
        <w:rPr/>
        <w:t xml:space="preserve">(1) Cooperative prevention and emergency response activities between the shared international and state borders;</w:t>
      </w:r>
    </w:p>
    <w:p>
      <w:pPr>
        <w:spacing w:before="0" w:after="0" w:line="408" w:lineRule="exact"/>
        <w:ind w:left="0" w:right="0" w:firstLine="576"/>
        <w:jc w:val="left"/>
      </w:pPr>
      <w:r>
        <w:rPr/>
        <w:t xml:space="preserve">(2) Expected risks posed by transport of Canadian crude oil or liquid bulk crude oil throughout the Pacific Northwest region; and</w:t>
      </w:r>
    </w:p>
    <w:p>
      <w:pPr>
        <w:spacing w:before="0" w:after="0" w:line="408" w:lineRule="exact"/>
        <w:ind w:left="0" w:right="0" w:firstLine="576"/>
        <w:jc w:val="left"/>
      </w:pPr>
      <w:r>
        <w:rPr/>
        <w:t xml:space="preserve">(3) An update of the marine transport of liquid bulk crude oil through the Pacific Northwest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(5)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"Director" means the director of the department of ecology.</w:t>
      </w:r>
    </w:p>
    <w:p>
      <w:pPr>
        <w:spacing w:before="0" w:after="0" w:line="408" w:lineRule="exact"/>
        <w:ind w:left="0" w:right="0" w:firstLine="576"/>
        <w:jc w:val="left"/>
      </w:pPr>
      <w:r>
        <w:rPr/>
        <w:t xml:space="preserve">(10) "Discharge" means any spilling, leaking, pumping, pouring, emitting, emptying, or dumping.</w:t>
      </w:r>
    </w:p>
    <w:p>
      <w:pPr>
        <w:spacing w:before="0" w:after="0" w:line="408" w:lineRule="exact"/>
        <w:ind w:left="0" w:right="0" w:firstLine="576"/>
        <w:jc w:val="left"/>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(12) "Fund" means the state coastal protection fund as provided in RCW 90.48.390 and 90.48.400.</w:t>
      </w:r>
    </w:p>
    <w:p>
      <w:pPr>
        <w:spacing w:before="0" w:after="0" w:line="408" w:lineRule="exact"/>
        <w:ind w:left="0" w:right="0" w:firstLine="576"/>
        <w:jc w:val="left"/>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(14)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(21)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(22)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(23) "Ship" means any boat, ship, vessel, barge, or other floating craft of any kind.</w:t>
      </w:r>
    </w:p>
    <w:p>
      <w:pPr>
        <w:spacing w:before="0" w:after="0" w:line="408" w:lineRule="exact"/>
        <w:ind w:left="0" w:right="0" w:firstLine="576"/>
        <w:jc w:val="left"/>
      </w:pPr>
      <w:r>
        <w:rPr/>
        <w:t xml:space="preserve">(24) "Spill" means an unauthorized discharge of oil or hazardous substances into the waters of the state.</w:t>
      </w:r>
    </w:p>
    <w:p>
      <w:pPr>
        <w:spacing w:before="0" w:after="0" w:line="408" w:lineRule="exact"/>
        <w:ind w:left="0" w:right="0" w:firstLine="576"/>
        <w:jc w:val="left"/>
      </w:pPr>
      <w:r>
        <w:rPr/>
        <w:t xml:space="preserve">(25)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spacing w:before="0" w:after="0" w:line="408" w:lineRule="exact"/>
        <w:ind w:left="0" w:right="0" w:firstLine="576"/>
        <w:jc w:val="left"/>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spacing w:before="0" w:after="0" w:line="408" w:lineRule="exact"/>
        <w:ind w:left="0" w:right="0" w:firstLine="576"/>
        <w:jc w:val="left"/>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spacing w:before="0" w:after="0" w:line="408" w:lineRule="exact"/>
        <w:ind w:left="0" w:right="0" w:firstLine="576"/>
        <w:jc w:val="left"/>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spacing w:before="0" w:after="0" w:line="408" w:lineRule="exact"/>
        <w:ind w:left="0" w:right="0" w:firstLine="576"/>
        <w:jc w:val="left"/>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spacing w:before="0" w:after="0" w:line="408" w:lineRule="exact"/>
        <w:ind w:left="0" w:right="0" w:firstLine="576"/>
        <w:jc w:val="left"/>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spacing w:before="0" w:after="0" w:line="408" w:lineRule="exact"/>
        <w:ind w:left="0" w:right="0" w:firstLine="576"/>
        <w:jc w:val="left"/>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spacing w:before="0" w:after="0" w:line="408" w:lineRule="exact"/>
        <w:ind w:left="0" w:right="0" w:firstLine="576"/>
        <w:jc w:val="left"/>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spacing w:before="0" w:after="0" w:line="408" w:lineRule="exact"/>
        <w:ind w:left="0" w:right="0" w:firstLine="576"/>
        <w:jc w:val="left"/>
      </w:pPr>
      <w:r>
        <w:t>((</w:t>
      </w:r>
      <w:r>
        <w:rPr>
          <w:strike/>
        </w:rPr>
        <w:t xml:space="preserve">The term "over-crossing" or "under-crossing," shall also mean any point or place where one railroad crosses another railroad not at grade.</w:t>
      </w:r>
    </w:p>
    <w:p>
      <w:pPr>
        <w:spacing w:before="0" w:after="0" w:line="408" w:lineRule="exact"/>
        <w:ind w:left="0" w:right="0" w:firstLine="576"/>
        <w:jc w:val="left"/>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spacing w:before="0" w:after="0" w:line="408" w:lineRule="exact"/>
        <w:ind w:left="0" w:right="0" w:firstLine="576"/>
        <w:jc w:val="left"/>
      </w:pPr>
      <w:r>
        <w:rPr>
          <w:u w:val="single"/>
        </w:rPr>
        <w:t xml:space="preserve">(8) "Private crossing" means any point or place where a railroad crosses a private road at grade or a private road crosses a railroad at grade, where the private road is not a highway.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To address the potential public safety hazards presented by private crossings in the state and by the transportation of hazardous materials in the state, including crude oil, the commission is authorized to adopt rules governing safety standards for private crossings along the railroad tracks over which crude oil is transported in the state, including, but not limited to, requirements for signage.</w:t>
      </w:r>
    </w:p>
    <w:p>
      <w:pPr>
        <w:spacing w:before="0" w:after="0" w:line="408" w:lineRule="exact"/>
        <w:ind w:left="0" w:right="0" w:firstLine="576"/>
        <w:jc w:val="left"/>
      </w:pPr>
      <w:r>
        <w:rPr/>
        <w:t xml:space="preserve">(2) Nothing in this section modifies existing agreements between the railroad company and the landowner governing cost allocation for upgrades to private crossing or liability for injuries or damages occurring at the private crossing.</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must convene a panel consisting of representatives from: The oil and rail industries, businesses that are recipients of liquid bulk crude oil, Grays Harbor and Columbia river harbor safety committees, maritime fire safety associations, the United States coast guard, Columbia river public ports in Oregon and Washington, Grays Harbor public ports, and Columbia river pilots.</w:t>
      </w:r>
    </w:p>
    <w:p>
      <w:pPr>
        <w:spacing w:before="0" w:after="0" w:line="408" w:lineRule="exact"/>
        <w:ind w:left="0" w:right="0" w:firstLine="576"/>
        <w:jc w:val="left"/>
      </w:pPr>
      <w:r>
        <w:rPr/>
        <w:t xml:space="preserve">(b) The panel convened under (a) of this subsection must evaluate and assess vessel traffic management and vessel traffic safety within the Columbia river and Grays Harbor.</w:t>
      </w:r>
    </w:p>
    <w:p>
      <w:pPr>
        <w:spacing w:before="0" w:after="0" w:line="408" w:lineRule="exact"/>
        <w:ind w:left="0" w:right="0" w:firstLine="576"/>
        <w:jc w:val="left"/>
      </w:pPr>
      <w:r>
        <w:rPr/>
        <w:t xml:space="preserve">(2) The panel shall convene no more than four times to assess and evaluate: (a) The need for tug escorts for oil tankers of greater than forty thousand deadweight tons, all articulated tug barges, and other towed waterborne vessels or barges; (b) best achievable protection; and (c) required tug capabilities to ensure safe escort of vessels on the Columbia river and Grays Harbor.</w:t>
      </w:r>
    </w:p>
    <w:p>
      <w:pPr>
        <w:spacing w:before="0" w:after="0" w:line="408" w:lineRule="exact"/>
        <w:ind w:left="0" w:right="0" w:firstLine="576"/>
        <w:jc w:val="left"/>
      </w:pPr>
      <w:r>
        <w:rPr/>
        <w:t xml:space="preserve">(3) By December 15, 2015, the department of ecology must provide to the appropriate committees of the legislature recommendations for vessel traffic management and vessel traffic safety on the Columbia river and Grays Harbor.</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spacing w:before="0" w:after="0" w:line="408" w:lineRule="exact"/>
        <w:ind w:left="0" w:right="0" w:firstLine="576"/>
        <w:jc w:val="left"/>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equal to </w:t>
      </w:r>
      <w:r>
        <w:t>((</w:t>
      </w:r>
      <w:r>
        <w:rPr>
          <w:strike/>
        </w:rPr>
        <w:t xml:space="preserve">one</w:t>
      </w:r>
      <w:r>
        <w:t>))</w:t>
      </w:r>
      <w:r>
        <w:rPr/>
        <w:t xml:space="preserve"> </w:t>
      </w:r>
      <w:r>
        <w:rPr>
          <w:u w:val="single"/>
        </w:rPr>
        <w:t xml:space="preserve">two</w:t>
      </w:r>
      <w:r>
        <w:rPr/>
        <w:t xml:space="preserve"> and one-half percent of its intrastate gross operating revenue.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spacing w:before="0" w:after="0" w:line="408" w:lineRule="exact"/>
        <w:ind w:left="0" w:right="0" w:firstLine="576"/>
        <w:jc w:val="left"/>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spacing w:before="0" w:after="0" w:line="408" w:lineRule="exact"/>
        <w:ind w:left="0" w:right="0" w:firstLine="576"/>
        <w:jc w:val="left"/>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authority of the commission to charge a railroad company a fee equal to two and one-half percent of its intrastate gross operating revenue under the authority of this chapter expires July 1, 2023.</w:t>
      </w:r>
    </w:p>
    <w:p>
      <w:pPr>
        <w:spacing w:before="0" w:after="0" w:line="408" w:lineRule="exact"/>
        <w:ind w:left="0" w:right="0" w:firstLine="576"/>
        <w:jc w:val="left"/>
      </w:pPr>
      <w:r>
        <w:rPr/>
        <w:t xml:space="preserve">(2) Beginning July 1, 2023, the commission is authorized to charge a railroad company a fee equal to one and one-half percent of its intrastate gross operating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Notices of a transfer of crude oil submitted to the department of ecology pursuant to section 7(1) of this act and that is in the possession of the department of ecology or any entity with which the department of ecology has shared the notice pursuant to section 7(5)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 s 19 (section 19 of this act) as now existing or hereafter amended, is repealed, effective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means a substance or material the federal secretary of transportation has determined to be capable of posing a significant risk to health, safety, and property when transported in commerce.</w:t>
      </w:r>
    </w:p>
    <w:p>
      <w:pPr>
        <w:spacing w:before="0" w:after="0" w:line="408" w:lineRule="exact"/>
        <w:ind w:left="0" w:right="0" w:firstLine="576"/>
        <w:jc w:val="left"/>
      </w:pPr>
      <w:r>
        <w:rPr/>
        <w:t xml:space="preserve">(3) "Hazardous material train" means any:</w:t>
      </w:r>
    </w:p>
    <w:p>
      <w:pPr>
        <w:spacing w:before="0" w:after="0" w:line="408" w:lineRule="exact"/>
        <w:ind w:left="0" w:right="0" w:firstLine="576"/>
        <w:jc w:val="left"/>
      </w:pPr>
      <w:r>
        <w:rPr/>
        <w:t xml:space="preserve">(a) High-hazard flammable train as defined by the United States department of transportation as of the effective date of this section; or</w:t>
      </w:r>
    </w:p>
    <w:p>
      <w:pPr>
        <w:spacing w:before="0" w:after="0" w:line="408" w:lineRule="exact"/>
        <w:ind w:left="0" w:right="0" w:firstLine="576"/>
        <w:jc w:val="left"/>
      </w:pPr>
      <w:r>
        <w:rPr/>
        <w:t xml:space="preserve">(b) Train containing any of following:</w:t>
      </w:r>
    </w:p>
    <w:p>
      <w:pPr>
        <w:spacing w:before="0" w:after="0" w:line="408" w:lineRule="exact"/>
        <w:ind w:left="0" w:right="0" w:firstLine="576"/>
        <w:jc w:val="left"/>
      </w:pPr>
      <w:r>
        <w:rPr/>
        <w:t xml:space="preserve">(i) One or more tank car loads of poison inhalation hazard or toxic inhalation hazard, hazard zone "A," "B," "C," or "D"; anhydrous ammonia, UN1005;</w:t>
      </w:r>
    </w:p>
    <w:p>
      <w:pPr>
        <w:spacing w:before="0" w:after="0" w:line="408" w:lineRule="exact"/>
        <w:ind w:left="0" w:right="0" w:firstLine="576"/>
        <w:jc w:val="left"/>
      </w:pPr>
      <w:r>
        <w:rPr/>
        <w:t xml:space="preserve">(ii) Twenty car loads or intermodal portable tank loads of any combination of hazardous material; or</w:t>
      </w:r>
    </w:p>
    <w:p>
      <w:pPr>
        <w:spacing w:before="0" w:after="0" w:line="408" w:lineRule="exact"/>
        <w:ind w:left="0" w:right="0" w:firstLine="576"/>
        <w:jc w:val="left"/>
      </w:pPr>
      <w:r>
        <w:rPr/>
        <w:t xml:space="preserve">(iii) One or more car loads of spent nuclear fuel or high level nuclear waste.</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25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24(2) of this act.</w:t>
      </w:r>
    </w:p>
    <w:p>
      <w:pPr>
        <w:spacing w:before="0" w:after="0" w:line="408" w:lineRule="exact"/>
        <w:ind w:left="0" w:right="0" w:firstLine="576"/>
        <w:jc w:val="left"/>
      </w:pPr>
      <w:r>
        <w:rPr/>
        <w:t xml:space="preserve">(b)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24 of this act constitutes a separate offense. However, section 24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24 of this act shall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c60fc93a02743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43e49334ed427f" /><Relationship Type="http://schemas.openxmlformats.org/officeDocument/2006/relationships/footer" Target="/word/footer.xml" Id="R1c60fc93a027434e" /></Relationships>
</file>