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0ff5cea6824a3d" /></Relationships>
</file>

<file path=word/document.xml><?xml version="1.0" encoding="utf-8"?>
<w:document xmlns:w="http://schemas.openxmlformats.org/wordprocessingml/2006/main">
  <w:body>
    <w:p>
      <w:r>
        <w:t>S-0154.2</w:t>
      </w:r>
    </w:p>
    <w:p>
      <w:pPr>
        <w:jc w:val="center"/>
      </w:pPr>
      <w:r>
        <w:t>_______________________________________________</w:t>
      </w:r>
    </w:p>
    <w:p/>
    <w:p>
      <w:pPr>
        <w:jc w:val="center"/>
      </w:pPr>
      <w:r>
        <w:rPr>
          <w:b/>
        </w:rPr>
        <w:t>SENATE BILL 5051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and Kohl-Welles</w:t>
      </w:r>
    </w:p>
    <w:p/>
    <w:p>
      <w:r>
        <w:rPr>
          <w:t xml:space="preserve">Prefiled 01/08/15.</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and delivery services for marijuana producers, marijuana processors, and marijuana retailers; amending RCW 69.50.4013 and 69.50.4014; and adding new sections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 licensed marijuana producer, marijuana processor, or marijuana retailer, or their employees, when operating in compliance with the provisions of RCW 69.50.325 through 69.50.401, and the administrative rules adopted thereunder, may use the services of a common carrier who is subject to the provisions of chapter 81.29 RCW to physically transport or deliver marijuana, useable marijuana, marijuana concentrates, and marijuana-infused products within the state, if the carrier is a licensed transporter as authorized by the liquor control board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liquor control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liquor control board may adopt rules establishing the maximum amounts of marijuana, useable marijuana, marijuana concentrates, and marijuana-infused products that may be physically transported or delivered at one time by a common carrier as provided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2(3) of this act, by an employee of a common carrier when performing the duties authorized under section 1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u w:val="single"/>
        </w:rPr>
        <w:t xml:space="preserve">marijuana</w:t>
      </w:r>
      <w:r>
        <w:rPr/>
        <w:t xml:space="preserve"> is guilty of a misdemeanor.</w:t>
      </w:r>
    </w:p>
    <w:p/>
    <w:p>
      <w:pPr>
        <w:jc w:val="center"/>
      </w:pPr>
      <w:r>
        <w:rPr>
          <w:b/>
        </w:rPr>
        <w:t>--- END ---</w:t>
      </w:r>
    </w:p>
    <w:sectPr>
      <w:pgNumType w:start="1"/>
      <w:footerReference xmlns:r="http://schemas.openxmlformats.org/officeDocument/2006/relationships" r:id="Rdfc31a9af63e4c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04205f0604361" /><Relationship Type="http://schemas.openxmlformats.org/officeDocument/2006/relationships/footer" Target="/word/footer.xml" Id="Rdfc31a9af63e4cd6" /></Relationships>
</file>