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3e871051894f67" /></Relationships>
</file>

<file path=word/document.xml><?xml version="1.0" encoding="utf-8"?>
<w:document xmlns:w="http://schemas.openxmlformats.org/wordprocessingml/2006/main">
  <w:body>
    <w:p>
      <w:r>
        <w:t>S-0144.1</w:t>
      </w:r>
    </w:p>
    <w:p>
      <w:pPr>
        <w:jc w:val="center"/>
      </w:pPr>
      <w:r>
        <w:t>_______________________________________________</w:t>
      </w:r>
    </w:p>
    <w:p/>
    <w:p>
      <w:pPr>
        <w:jc w:val="center"/>
      </w:pPr>
      <w:r>
        <w:rPr>
          <w:b/>
        </w:rPr>
        <w:t>SENATE BILL 5048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Roach, Hatfield, and Miloscia</w:t>
      </w:r>
    </w:p>
    <w:p/>
    <w:p>
      <w:r>
        <w:rPr>
          <w:t xml:space="preserve">Prefiled 01/07/15.</w:t>
        </w:rPr>
      </w:r>
      <w:r>
        <w:rPr>
          <w:t xml:space="preserve">Read first time 01/12/15.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referendum of assumptions of water-sewer districts by cities and towns; and adding a new section to chapter 35.13A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(1) A resolution or ordinance adopted by the legislative body of a city to assume jurisdiction of all or part of a water-sewer district under this chapter is subject to a referendum. Any referendum petition to repeal the assumption resolution or ordinance must be filed with the county auditor within ten days of passage of the ordinance. Within ten days of the filing of a petition, the county auditor must confer with the petitioner concerning the form and style of the petition, issue an identification number for the petition, and write a ballot title for the measure. The ballot title must be posed as a question so that an affirmative answer to the question and an affirmative vote on the measure results in approval of the proposed assumption and a negative answer to the question and a negative vote on the measure results in the assumption being barred. The petitioner must be notified of the identification number and ballot title within this ten-day period. After this notification, the petitioner has ninety days in which to secure on petition forms the signatures of at least ten percent of the number of voters residing within the boundaries of the water-sewer district who voted in the last general election and file the signed petitions with the county auditor. Each petition form must contain the ballot title and full text of the measure to be referred. The county auditor must verify the sufficiency of the signatures on the petitions.</w:t>
      </w:r>
    </w:p>
    <w:p>
      <w:pPr>
        <w:spacing w:before="0" w:after="0" w:line="408" w:lineRule="exact"/>
        <w:ind w:left="0" w:right="0" w:firstLine="576"/>
        <w:jc w:val="left"/>
      </w:pPr>
      <w:r>
        <w:rPr/>
        <w:t xml:space="preserve">(2) If sufficient valid signatures on the petitions are properly submitted, the county auditor must submit the referendum measure to the registered voters residing in the water-sewer district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the water-sewer district.</w:t>
      </w:r>
    </w:p>
    <w:p>
      <w:pPr>
        <w:spacing w:before="0" w:after="0" w:line="408" w:lineRule="exact"/>
        <w:ind w:left="0" w:right="0" w:firstLine="576"/>
        <w:jc w:val="left"/>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
      <w:pPr>
        <w:jc w:val="center"/>
      </w:pPr>
      <w:r>
        <w:rPr>
          <w:b/>
        </w:rPr>
        <w:t>--- END ---</w:t>
      </w:r>
    </w:p>
    <w:sectPr>
      <w:pgNumType w:start="1"/>
      <w:footerReference xmlns:r="http://schemas.openxmlformats.org/officeDocument/2006/relationships" r:id="Rbbb06e8cd9ba42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b1902d39d94daf" /><Relationship Type="http://schemas.openxmlformats.org/officeDocument/2006/relationships/footer" Target="/word/footer.xml" Id="Rbbb06e8cd9ba425d" /></Relationships>
</file>